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山东省阳谷县铁路输电设备产业集群</w:t>
      </w:r>
    </w:p>
    <w:p>
      <w:pPr>
        <w:spacing w:lineRule="exact" w:line="600" w:before="240" w:after="240"/>
        <w:ind w:firstLine="0"/>
        <w:jc w:val="center"/>
      </w:pPr>
      <w:r>
        <w:rPr>
          <w:rFonts w:ascii="方正小标宋简体" w:hAnsi="方正小标宋简体" w:eastAsia="方正小标宋简体"/>
          <w:b w:val="0"/>
          <w:color w:val="000000"/>
          <w:sz w:val="44"/>
        </w:rPr>
        <w:t>山东阳谷电缆集团有限公司企业分析报告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阳谷电缆集团有限公司成立于1996年4月18日，法定代表人钟本健，统一社会信用代码91371521168011969M，企业类型为有限责任公司，注册资本24,380万元（实缴约22,030万元），注册地址位于山东省阳谷县西湖14号，登记机关为阳谷县市场监督管理局，经营状态为存续（在营）。曾用名山东阳谷电缆集团公司。公司为阳谷县电线电缆产业龙头企业。</w:t>
      </w:r>
    </w:p>
    <w:p>
      <w:pPr>
        <w:spacing w:lineRule="exact" w:line="600" w:before="0" w:after="0"/>
        <w:ind w:firstLine="420"/>
        <w:jc w:val="both"/>
      </w:pPr>
      <w:r>
        <w:rPr>
          <w:rFonts w:ascii="仿宋_GB2312" w:hAnsi="仿宋_GB2312" w:eastAsia="仿宋_GB2312"/>
          <w:b w:val="0"/>
          <w:color w:val="000000"/>
          <w:sz w:val="32"/>
        </w:rPr>
        <w:t>股权结构：高宪武持股48.5075%、翟东玲持股11.8066%、钟本健持股11.1383%、聊城泰合财金新旧动能转换股权投资基金合伙企业（有限合伙，国资基金）持股9.6390%、工会职工持股5.9702%、国开发展基金有限公司持股5.8655%等。实际控制人为高宪武，属民营控股企业（含国资基金与国开基金参股），无单一国有控股股东。</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集团旗下共有15家参控股企业，业务涵盖电力电缆、矿用电缆、通信光缆、铜材加工等；下设电力电缆、矿用电缆、橡套电缆、电气装备电缆、特种电缆等业务板块，并向上游延伸成立阳谷明鑫铜业有限公司保障供应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企业深耕线缆四十载：1995年兼并多家传统工厂组建山东阳谷电缆集团；1999年与亚太线缆企业合资成立山东太平洋光缆有限公司切入光纤光缆赛道，实现"电力电缆+通信光缆"双线并行，成为三大运营商配套供应商；2002年被认定为国家级高新技术企业；2003年完成民营改制转型为全员持股民营企业；2005年矿用橡套电缆、超高压交联电缆获批国家级火炬计划项目；2006年试制500kV超高压交联电缆并入选山东省首批百个重点工业产品；2009年成立阳谷明鑫铜业延伸上游，同年入选中国最大1000家企业集团、中国大企业竞争力500强；2011年与法国耐克森合资成立耐克森（阳谷）新日辉电缆有限公司；2016年主营业务收入突破102亿元，矿用阻燃电缆长江以北市场占有率突破90%。</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阳谷县电线电缆产业龙头、全国特种线缆重点企业。主营业务为电线电缆及电缆附件、电源线、铝合金导体电源线、光纤光缆、电子元件、光器件、汽车线束及插接件的研发、制造、销售与安装服务，以及铜材、铝材、合金材料加工销售与进出口业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电力电缆、矿用电缆、橡套电缆、电气装备电缆、特种电缆为主，并向通信光缆、光纤、汽车线束延伸，形成"电力+通信"双线产品结构。集团未公开披露近期分产品收入占比，但历史上2016年主营业务收入突破102亿元。</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电力电缆、矿用电缆、橡套电缆、电气装备电缆、耐高温电缆、计算机电缆、特种电缆、光纤光缆、汽车线束等；具备500kV超高压交联电缆制造能力，矿用阻燃电缆为拳头产品（长江以北市占率曾突破90%）。</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为三大运营商（移动、联通、电信）配套供应商；矿用电缆客户覆盖各大煤业集团；电力电缆客户涵盖电网与能源企业；出口具备欧盟CE、德国TÜV莱茵等国际认证资质。</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生产所需铜材、铝材、绝缘料、护套料为主要采购对象，原料价格受国际铜铝价格大幅波动影响，是公司成本控制的关键变量；集团通过明鑫铜业向上游延伸以稳定供应链。</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集团旗下15家参控股企业，拥有注册商标24项、专利37项；为国家级高新技术企业，通过ISO9000等体系认证及欧盟CE、俄罗斯GOST、德国TÜV莱茵产品认证；建有自有技术研发团队。具体产能数据未公开披露。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采用经销商+直销+出口多渠道模式，依托"阳谷电缆"区域品牌与三大运营商、煤业集团等大客户配套体系拓展市场，并借国际认证出口海外。</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近期完整财务数据未公开披露。公开历史资料显示2016年主营业务收入突破102亿元、利税11.08亿元，矿用阻燃电缆长江以北市场占有率突破90%；集团为阳谷县线缆产业龙头，在矿用电缆细分领域稳居全国前列。注：102亿元为2016年历史口径，近期经营数据以企业未公开披露为准。</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山东阳谷电缆集团为非上市民营企业，近三年完整财务报表未公开披露，以下列公开工商与历史经营信息，不作财务数据编造。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24,380万元（实缴约22,030万元）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1996-04-18</w:t>
            </w:r>
          </w:p>
        </w:tc>
      </w:tr>
      <w:tr>
        <w:tc>
          <w:tcPr>
            <w:tcW w:type="dxa" w:w="2551"/>
          </w:tcPr>
          <w:p>
            <w:pPr>
              <w:spacing w:lineRule="exact" w:line="600"/>
              <w:jc w:val="center"/>
            </w:pPr>
            <w:r/>
            <w:r>
              <w:rPr>
                <w:rFonts w:ascii="仿宋_GB2312" w:hAnsi="仿宋_GB2312" w:eastAsia="仿宋_GB2312"/>
                <w:b w:val="0"/>
                <w:color w:val="000000"/>
                <w:sz w:val="32"/>
              </w:rPr>
              <w:t>实际控制人</w:t>
            </w:r>
          </w:p>
        </w:tc>
        <w:tc>
          <w:tcPr>
            <w:tcW w:type="dxa" w:w="6236"/>
          </w:tcPr>
          <w:p>
            <w:pPr>
              <w:spacing w:lineRule="exact" w:line="600"/>
              <w:jc w:val="center"/>
            </w:pPr>
            <w:r/>
            <w:r>
              <w:rPr>
                <w:rFonts w:ascii="仿宋_GB2312" w:hAnsi="仿宋_GB2312" w:eastAsia="仿宋_GB2312"/>
                <w:b w:val="0"/>
                <w:color w:val="000000"/>
                <w:sz w:val="32"/>
              </w:rPr>
              <w:t>高宪武（持股48.51%）</w:t>
            </w:r>
          </w:p>
        </w:tc>
      </w:tr>
      <w:tr>
        <w:tc>
          <w:tcPr>
            <w:tcW w:type="dxa" w:w="2551"/>
          </w:tcPr>
          <w:p>
            <w:pPr>
              <w:spacing w:lineRule="exact" w:line="600"/>
              <w:jc w:val="center"/>
            </w:pPr>
            <w:r/>
            <w:r>
              <w:rPr>
                <w:rFonts w:ascii="仿宋_GB2312" w:hAnsi="仿宋_GB2312" w:eastAsia="仿宋_GB2312"/>
                <w:b w:val="0"/>
                <w:color w:val="000000"/>
                <w:sz w:val="32"/>
              </w:rPr>
              <w:t>参控股企业</w:t>
            </w:r>
          </w:p>
        </w:tc>
        <w:tc>
          <w:tcPr>
            <w:tcW w:type="dxa" w:w="6236"/>
          </w:tcPr>
          <w:p>
            <w:pPr>
              <w:spacing w:lineRule="exact" w:line="600"/>
              <w:jc w:val="center"/>
            </w:pPr>
            <w:r/>
            <w:r>
              <w:rPr>
                <w:rFonts w:ascii="仿宋_GB2312" w:hAnsi="仿宋_GB2312" w:eastAsia="仿宋_GB2312"/>
                <w:b w:val="0"/>
                <w:color w:val="000000"/>
                <w:sz w:val="32"/>
              </w:rPr>
              <w:t>约15家</w:t>
            </w:r>
          </w:p>
        </w:tc>
      </w:tr>
      <w:tr>
        <w:tc>
          <w:tcPr>
            <w:tcW w:type="dxa" w:w="2551"/>
          </w:tcPr>
          <w:p>
            <w:pPr>
              <w:spacing w:lineRule="exact" w:line="600"/>
              <w:jc w:val="center"/>
            </w:pPr>
            <w:r/>
            <w:r>
              <w:rPr>
                <w:rFonts w:ascii="仿宋_GB2312" w:hAnsi="仿宋_GB2312" w:eastAsia="仿宋_GB2312"/>
                <w:b w:val="0"/>
                <w:color w:val="000000"/>
                <w:sz w:val="32"/>
              </w:rPr>
              <w:t>历史营收</w:t>
            </w:r>
          </w:p>
        </w:tc>
        <w:tc>
          <w:tcPr>
            <w:tcW w:type="dxa" w:w="6236"/>
          </w:tcPr>
          <w:p>
            <w:pPr>
              <w:spacing w:lineRule="exact" w:line="600"/>
              <w:jc w:val="center"/>
            </w:pPr>
            <w:r/>
            <w:r>
              <w:rPr>
                <w:rFonts w:ascii="仿宋_GB2312" w:hAnsi="仿宋_GB2312" w:eastAsia="仿宋_GB2312"/>
                <w:b w:val="0"/>
                <w:color w:val="000000"/>
                <w:sz w:val="32"/>
              </w:rPr>
              <w:t>2016年主营业务收入突破102亿元</w:t>
            </w:r>
          </w:p>
        </w:tc>
      </w:tr>
      <w:tr>
        <w:tc>
          <w:tcPr>
            <w:tcW w:type="dxa" w:w="2551"/>
          </w:tcPr>
          <w:p>
            <w:pPr>
              <w:spacing w:lineRule="exact" w:line="600"/>
              <w:jc w:val="center"/>
            </w:pPr>
            <w:r/>
            <w:r>
              <w:rPr>
                <w:rFonts w:ascii="仿宋_GB2312" w:hAnsi="仿宋_GB2312" w:eastAsia="仿宋_GB2312"/>
                <w:b w:val="0"/>
                <w:color w:val="000000"/>
                <w:sz w:val="32"/>
              </w:rPr>
              <w:t>专利/商标</w:t>
            </w:r>
          </w:p>
        </w:tc>
        <w:tc>
          <w:tcPr>
            <w:tcW w:type="dxa" w:w="6236"/>
          </w:tcPr>
          <w:p>
            <w:pPr>
              <w:spacing w:lineRule="exact" w:line="600"/>
              <w:jc w:val="center"/>
            </w:pPr>
            <w:r/>
            <w:r>
              <w:rPr>
                <w:rFonts w:ascii="仿宋_GB2312" w:hAnsi="仿宋_GB2312" w:eastAsia="仿宋_GB2312"/>
                <w:b w:val="0"/>
                <w:color w:val="000000"/>
                <w:sz w:val="32"/>
              </w:rPr>
              <w:t>专利37项、商标24项</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财务数据未公开披露。线缆行业盈利受铜铝价格（"料重工轻"）与加工费竞争影响，毛利率通常中等；历史2016年利税11.08亿元体现较强盈利规模。</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无公开近期资产数据。作为大型线缆集团，资产以设备、存货（铜铝原料）与应收为主，存货受金属价格影响波动大。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无公开负债数据。建议授信前核查有息负债、对外担保与实控人连带情况。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无公开现金流数据。"料重工轻"属性下营运资金占用大，铜铝采购与应收回款对现金流影响显著。</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处阳谷集群的日辉电缆（国有控股）、太平洋光纤光缆（高宪武系关联）相比，阳谷电缆集团历史规模领先（曾破百亿）、矿用电缆市占率突出，但近期财务透明度低、涉诉记录较多，需关注经营与治理风险。</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有限责任公司，设董事长（高宪武）、董事兼总经理（钟本健）及监事会；2003年民营改制后为全员持股民营企业，治理相对市场化。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董事长高宪武（大股东、实控人）；董事兼总经理钟本健。管理团队深耕线缆产业多年。</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集团化管控，下设多业务板块与15家参控股企业；通过ISO体系与产品认证强化质量内控。公开信息显示公司涉及较多立案与开庭公告，需强化合同与应收账款管理。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参保约160人（集团口径，口径或仅含母公司）；作为大型集团，整体用工规模显著更大，技术与管理人员储备充足。</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品牌与规模：阳谷电缆为区域龙头品牌，历史营收破百亿，跻身中国最大1000家企业集团。二是细分市场地位：矿用阻燃电缆长江以北市占率曾突破90%，稳居细分第一。三是技术与资质：国家级高新技术企业，具备500kV超高压交联电缆制造能力，通过CE/TÜV/GOST国际认证。四是产业链协同：旗下15家参控股、向上游铜材延伸，并合资耐克森布局高端，配套三大运营商。五是客户资源：三大运营商、各大煤业集团与电网企业长期配套，客户壁垒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价格风险：铜铝价格大幅波动直接挤压毛利，"料重工轻"特征显著；应对为套期与集采、上游延伸。二是市场竞争与盈利风险：线缆行业产能过剩、加工费承压；应对以特种电缆与矿用优势提升溢价。三是法律与合规风险：公开信息显示公司涉及较多立案、开庭公告与涉诉关系，需强化合同信用管理。四是财务透明度风险：非上市、近期财务未公开，授信需加强尽调。五是治理与股权风险：民营控股、股权含多自然人，需关注稳定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三大运营商、煤业集团、电网等核心客户的应收账款规模大、账期长，可开展保理融资盘活资金。供应链金融：围绕核心企业为其铜材、绝缘料等上游供应商提供订单与存货融资。融资租赁：高端电缆产线（如超高压交联产线）设备升级适合直租/回租。小贷：面向中小配套供应商短贷。鉴于企业历史规模大、细分地位突出但财务不透明、涉诉较多，建议以"强确权应收保理+设备融资租赁"为主，设置严格增信与动态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阳谷电缆集团是阳谷铁路输电设备产业集群的龙头，历史规模破百亿、矿用电缆市占率领先、技术与资质完备、客户资源优质，但近期财务不透明、涉诉较多、受铜铝价格与行业竞争影响。发展展望：据行业趋势与阳谷县线缆产业转型升级三年行动方案，科技创新与智能制造转型将推动企业提质，特种线缆需求稳健。建议：一是以强确权应收保理与设备融资租赁切入；二是授信前补充规范财务与征信资料；三是关注涉诉与应收账款风险，建立动态信用监测。</w:t>
      </w:r>
    </w:p>
    <w:p>
      <w:pPr>
        <w:spacing w:lineRule="exact" w:line="600" w:before="0" w:after="0"/>
        <w:jc w:val="left"/>
      </w:pPr>
      <w:r>
        <w:rPr>
          <w:rFonts w:ascii="仿宋_GB2312" w:hAnsi="仿宋_GB2312" w:eastAsia="仿宋_GB2312"/>
          <w:b w:val="0"/>
          <w:color w:val="000000"/>
          <w:sz w:val="28"/>
        </w:rPr>
        <w:t>数据来源说明：天眼查/爱企查/企查查（工商、股权、资质、专利）、公司官网 ygdljt.com.cn（发展历程与产品）、阳谷县政府/行业协会（集群地位）、公开新闻报道（历史营收与市占率）。近三年完整财务未公开披露，已如实标注。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