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山东省龙口市交通铝材产业集群</w:t>
      </w:r>
    </w:p>
    <w:p>
      <w:pPr>
        <w:spacing w:lineRule="exact" w:line="600" w:before="240" w:after="240"/>
        <w:ind w:firstLine="0"/>
        <w:jc w:val="center"/>
      </w:pPr>
      <w:r>
        <w:rPr>
          <w:rFonts w:ascii="方正小标宋简体" w:hAnsi="方正小标宋简体" w:eastAsia="方正小标宋简体"/>
          <w:b w:val="0"/>
          <w:color w:val="000000"/>
          <w:sz w:val="44"/>
        </w:rPr>
        <w:t>山东丛林铝业有限公司企业分析报告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丛林铝业有限公司对应的运营主体为“丛林铝业科技（山东）有限责任公司”，成立于2019年12月10日，法定代表人为杨开发（工商信息亦曾记载万长宝、秦卫星，存在高管调整），统一社会信用代码91370681MA3R6C74XY，企业类型为其他有限责任公司，注册资本40,000万元，注册地址位于山东省烟台市龙口市滨海旅游度假区海景路中段，登记机关为龙口市市场监督管理局，经营状态为开业。</w:t>
      </w:r>
    </w:p>
    <w:p>
      <w:pPr>
        <w:spacing w:lineRule="exact" w:line="600" w:before="0" w:after="0"/>
        <w:ind w:firstLine="420"/>
        <w:jc w:val="both"/>
      </w:pPr>
      <w:r>
        <w:rPr>
          <w:rFonts w:ascii="仿宋_GB2312" w:hAnsi="仿宋_GB2312" w:eastAsia="仿宋_GB2312"/>
          <w:b w:val="0"/>
          <w:color w:val="000000"/>
          <w:sz w:val="32"/>
        </w:rPr>
        <w:t>股权结构：公司前身为丛林集团有限公司铝加工产业板块，2020年4月由安徽海创集团股份有限公司、中银信控股集团有限公司联合投资收购并完成资产与业务重整，现为民营控股企业，实际控制人为两家投资方（安徽海创集团、中银信控股集团），无国有出资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集团化专业从事高端工业铝型材及轻量化装备研发制造的企业，现拥有5家子公司（含诺维科、迈拓林铝模板、芜湖丛林汽车、福禄好富汽车等），员工1,200余名；业务涵盖轨道交通车体材料、轻量化商用车、汽车零部件、铝结构工程、建筑模板等。</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脱胎于丛林集团铝加工板块，2020年4月被安徽海创集团与中银信控股联合收购重整，进入新发展阶段；依托数十年铝加工积累，建成15条大型铝挤压生产线、8条铝合金自动焊接生产线、6台大型五轴数控加工中心；2020年8月引入东方资管等机构股权融资；先后获国家科技进步一等奖1项、二等奖1项，授权国家发明专利46项，主持制定国家/行业标准4项、参与20余项。</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国内高端工业铝材及深加工领军企业、龙口交通铝材集群“领头雁”之一。主营业务为高端工业铝合金型材生产及轻量化装备研发制造，主导产品涵盖铝合金轨道交通车体材料及部件、轻量化商用车、汽车零部件、特种船舶、铝结构工程、建筑模板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高端工业铝挤压型材及深加工为主，涵盖轨道交通车体材料、轻量化商用车车厢、汽车零部件、铝结构工程、建筑铝模板（诺维科/迈拓林品牌）等；公司未公开披露分产品收入占比，整体以工业型材深加工为主、建筑模板为辅。</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铝合金轨道交通车体模块及部件、轻量化商用车车厢（源自福禄好富卡车制造技术）、汽车零部件（ABS、保险杠、天窗滑轨、翼展挂车纵梁等）、铝合金人行天桥、高强度轻质镁硅铝合金汽车零部件、铝合金建筑模板；具备从挤压、焊接到五轴精密加工的全流程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客户包括中国中车、法国阿尔斯通、庞巴迪、中国中集、丹麦马士基、京东物流、顺丰速运、韵达速递、圆通速递等国内外知名企业，是国内高端工业铝材及深加工核心供应商。</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生产所需主要原料为铝锭/铸棒及合金元素，价格随铝价波动；公司地处龙口铝产业集群，就近依托南山等上游铝液/铸棒供应，原料协同便利。</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拥有15条大型铝挤压生产线、8条铝合金自动焊接生产线、6台大型五轴数控加工中心；具备国家认可实验室、博士后科研工作站、省工业铝型材工程技术研究中心、省工业设计中心等国家和省部级科研平台，高新技术企业3家；获ISO/TS 22163、EN15085、CCC、LR/DNV/ABS/BV/CCS船级社认证、ISO9001/14001/18001等国际权威认证；专利126件（含国家发明专利46项）、商标51件。</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以直销对接中车、阿尔斯通、中集等头部客户为主，并提供轻量化整体解决方案；依托龙口港区位优势开展进出口业务。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民营企业，近三年完整财务数据未公开披露。公开资料显示员工1,200余名、5家子公司、30余条铝材加工生产线，是国内高端工业铝材及深加工领军企业，在轨交车体铝型材、轻量化商用车车厢细分领域具备领先市场地位。</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山东丛林铝业（丛林铝业科技（山东）有限责任公司）为非上市民营企业，近三年财务报表未公开披露，以下仅列公开工商与产能信息，不作财务数据编造。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40,000万元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2019-12-10</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其他有限责任公司（民营控股）</w:t>
            </w:r>
          </w:p>
        </w:tc>
      </w:tr>
      <w:tr>
        <w:tc>
          <w:tcPr>
            <w:tcW w:type="dxa" w:w="2551"/>
          </w:tcPr>
          <w:p>
            <w:pPr>
              <w:spacing w:lineRule="exact" w:line="600"/>
              <w:jc w:val="center"/>
            </w:pPr>
            <w:r/>
            <w:r>
              <w:rPr>
                <w:rFonts w:ascii="仿宋_GB2312" w:hAnsi="仿宋_GB2312" w:eastAsia="仿宋_GB2312"/>
                <w:b w:val="0"/>
                <w:color w:val="000000"/>
                <w:sz w:val="32"/>
              </w:rPr>
              <w:t>员工人数</w:t>
            </w:r>
          </w:p>
        </w:tc>
        <w:tc>
          <w:tcPr>
            <w:tcW w:type="dxa" w:w="6236"/>
          </w:tcPr>
          <w:p>
            <w:pPr>
              <w:spacing w:lineRule="exact" w:line="600"/>
              <w:jc w:val="center"/>
            </w:pPr>
            <w:r/>
            <w:r>
              <w:rPr>
                <w:rFonts w:ascii="仿宋_GB2312" w:hAnsi="仿宋_GB2312" w:eastAsia="仿宋_GB2312"/>
                <w:b w:val="0"/>
                <w:color w:val="000000"/>
                <w:sz w:val="32"/>
              </w:rPr>
              <w:t>约1,200余名</w:t>
            </w:r>
          </w:p>
        </w:tc>
      </w:tr>
      <w:tr>
        <w:tc>
          <w:tcPr>
            <w:tcW w:type="dxa" w:w="2551"/>
          </w:tcPr>
          <w:p>
            <w:pPr>
              <w:spacing w:lineRule="exact" w:line="600"/>
              <w:jc w:val="center"/>
            </w:pPr>
            <w:r/>
            <w:r>
              <w:rPr>
                <w:rFonts w:ascii="仿宋_GB2312" w:hAnsi="仿宋_GB2312" w:eastAsia="仿宋_GB2312"/>
                <w:b w:val="0"/>
                <w:color w:val="000000"/>
                <w:sz w:val="32"/>
              </w:rPr>
              <w:t>铝挤压生产线</w:t>
            </w:r>
          </w:p>
        </w:tc>
        <w:tc>
          <w:tcPr>
            <w:tcW w:type="dxa" w:w="6236"/>
          </w:tcPr>
          <w:p>
            <w:pPr>
              <w:spacing w:lineRule="exact" w:line="600"/>
              <w:jc w:val="center"/>
            </w:pPr>
            <w:r/>
            <w:r>
              <w:rPr>
                <w:rFonts w:ascii="仿宋_GB2312" w:hAnsi="仿宋_GB2312" w:eastAsia="仿宋_GB2312"/>
                <w:b w:val="0"/>
                <w:color w:val="000000"/>
                <w:sz w:val="32"/>
              </w:rPr>
              <w:t>15条</w:t>
            </w:r>
          </w:p>
        </w:tc>
      </w:tr>
      <w:tr>
        <w:tc>
          <w:tcPr>
            <w:tcW w:type="dxa" w:w="2551"/>
          </w:tcPr>
          <w:p>
            <w:pPr>
              <w:spacing w:lineRule="exact" w:line="600"/>
              <w:jc w:val="center"/>
            </w:pPr>
            <w:r/>
            <w:r>
              <w:rPr>
                <w:rFonts w:ascii="仿宋_GB2312" w:hAnsi="仿宋_GB2312" w:eastAsia="仿宋_GB2312"/>
                <w:b w:val="0"/>
                <w:color w:val="000000"/>
                <w:sz w:val="32"/>
              </w:rPr>
              <w:t>五轴数控加工中心</w:t>
            </w:r>
          </w:p>
        </w:tc>
        <w:tc>
          <w:tcPr>
            <w:tcW w:type="dxa" w:w="6236"/>
          </w:tcPr>
          <w:p>
            <w:pPr>
              <w:spacing w:lineRule="exact" w:line="600"/>
              <w:jc w:val="center"/>
            </w:pPr>
            <w:r/>
            <w:r>
              <w:rPr>
                <w:rFonts w:ascii="仿宋_GB2312" w:hAnsi="仿宋_GB2312" w:eastAsia="仿宋_GB2312"/>
                <w:b w:val="0"/>
                <w:color w:val="000000"/>
                <w:sz w:val="32"/>
              </w:rPr>
              <w:t>6台</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财务数据未公开披露。高端工业铝型材及深加工附加值较高，但重资产与研发投放大，盈利受铝价与订单结构影响。</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无公开资产数据。重资产属性明显（挤压线、焊接线、五轴加工中心），固定资产占比高。</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无公开负债数据。2020年重整后资本结构改善，但扩产与研发仍需资金支持，建议授信前核查负债与对外担保。</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无公开现金流数据。装备与产线投资对营运资金占用较大。</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与南山铝业（全产业链龙头）相比，丛林铝业聚焦高端工业铝型材深加工，在轨交车体、轻量化商用车车厢等细分领域技术领先、客户优质；但规模与一体化程度不及南山，财务透明度较低。</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民营控股有限责任公司，设董事会及经营管理层，重大事项由安徽海创集团、中银信控股等股东决策；作为高新技术企业建立研发与质量内控体系。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法定代表人杨开发（工商登记）；公司由安徽海创集团与中银信控股派驻管理，核心团队具铝加工与资本运作背景。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通过ISO/TS 22163、EN15085、船级社等国际认证，建有国家级实验室与省级研发平台，质量与内控体系较完备。</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员工1,200余名，技术工人与研发人员占比具备优势；依托博士后工作站与高校合作弥补高端研发人力。</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一是技术与认证壁垒：国家认可实验室、博士后工作站、省工程中心，46项发明专利、国家科技进步一/二等奖，ISO/TS 22163、EN15085、多国船级社认证构成高门槛。二是高端客户资源：中车、阿尔斯通、庞巴迪、中集、马士基、京东/顺丰等头部客户背书。三是装备与产能：15条挤压线、8条焊接线、6台五轴加工中心，全流程制造能力。四是集群协同：位于龙口千亿级铝产业链，就近原料与产业配套。五是产品矩阵：轨交、商用车、汽车零部件、特种船舶、建筑模板多领域布局。</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客户集中风险：依赖中车、阿尔斯通等少数轨交/物流头部客户，订单波动影响大。二是原料价格风险：铝价波动影响成本与毛利。三是重资产与资金风险：挤压/焊接/五轴装备投资大，现金流承压。四是股权与整合风险：2020年重整后需关注股东协同与战略稳定。五是安全环保风险：铝加工涉及熔铸、焊接，需合规投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中车、阿尔斯通等头部客户的应收账款可开展保理。供应链金融：围绕核心客户为上游供应商提供订单融资、票据贴现。融资租赁：挤压线、焊接线、五轴加工中心等设备升级适合直租/回租。小贷：面向临时周转。丛林铝业资质优良、客户顶级、技术领先，是高端工业铝材领域重点客户，建议以“核心客户应收保理+设备融资租赁”组合切入，关注重整后股权稳定与现金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丛林铝业是龙口交通铝材集群高端工业铝型材深加工的领军企业，技术、认证、客户与装备优势突出，但非上市、财务不透明、重资产资金压力大。发展展望：据行业趋势，轨交投资、汽车轻量化、新能源物流对高端铝型材需求增长，公司成长空间明确。建议：一是对接核心客户应收保理与设备融资租赁；二是要求补充规范财务报表后再放大授信；三是关注铝价波动、客户集中度与重整后整合进度。</w:t>
      </w:r>
    </w:p>
    <w:p>
      <w:pPr>
        <w:spacing w:lineRule="exact" w:line="600" w:before="0" w:after="0"/>
        <w:jc w:val="left"/>
      </w:pPr>
      <w:r>
        <w:rPr>
          <w:rFonts w:ascii="仿宋_GB2312" w:hAnsi="仿宋_GB2312" w:eastAsia="仿宋_GB2312"/>
          <w:b w:val="0"/>
          <w:color w:val="000000"/>
          <w:sz w:val="28"/>
        </w:rPr>
        <w:t>数据来源说明：天眼查/爱企查（工商、股权）、公司官网 conglin.com.cn 及 about 页面（产能、产品、客户、资质）、清科/投资界（融资与股权）、夸克百科（工商信息）。财务数据未公开披露，已如实标注。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