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山东聊城东昌府（基础零部件—保持器）特色产业集群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山东力得汽车科技股份有限公司企业分析报告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（本报告数据来源于国家企业信用信息公示系统及天眼查/企查查工商登记信息、公司官方网站 www.shandonglide.com、大众网·海报新闻等权威媒体公开报道，统计时点截至2026年8月。公司为非上市股份有限公司，未公开披露定期财务报告，本报告中凡涉及财务数据之处均如实标注"财务数据未公开披露"，不作任何估算与推断。）</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山东力得汽车科技股份有限公司（英文名称Shandong Lide Automotive Technology Co., Ltd.，以下简称"公司"或"力得科技"），统一社会信用代码91371500668063861P，注册号371500228048101，组织机构代码66806386-1，成立日期与经营开始时间均为2007年10月18日，登记机关为聊城市市场监督管理局，企业登记状态存续。</w:t>
      </w:r>
    </w:p>
    <w:p>
      <w:pPr>
        <w:spacing w:lineRule="exact" w:line="600" w:before="0" w:after="0"/>
        <w:ind w:firstLine="420"/>
        <w:jc w:val="both"/>
      </w:pPr>
      <w:r>
        <w:rPr>
          <w:rFonts w:ascii="仿宋_GB2312" w:hAnsi="仿宋_GB2312" w:eastAsia="仿宋_GB2312"/>
          <w:b w:val="0"/>
          <w:color w:val="000000"/>
          <w:sz w:val="32"/>
        </w:rPr>
        <w:t>公司注册地址为山东省聊城市东昌府区郑家工业园（公司官网表述为"东昌府区郑家镇工业园"），联系电话0635-8635688、0635-8636888，电子邮箱wxqc2008@sina.com，官方网站www.shandonglide.com。公司法定代表人为李路峰。企业类型为股份有限公司（非上市、自然人投资或控股），即公司已完成股份制改造但尚未在境内外证券交易所公开发行股票上市。</w:t>
      </w:r>
    </w:p>
    <w:p>
      <w:pPr>
        <w:spacing w:lineRule="exact" w:line="600" w:before="0" w:after="0"/>
        <w:ind w:firstLine="420"/>
        <w:jc w:val="both"/>
      </w:pPr>
      <w:r>
        <w:rPr>
          <w:rFonts w:ascii="仿宋_GB2312" w:hAnsi="仿宋_GB2312" w:eastAsia="仿宋_GB2312"/>
          <w:b w:val="0"/>
          <w:color w:val="000000"/>
          <w:sz w:val="32"/>
        </w:rPr>
        <w:t>注册资本方面，工商登记信息显示公司现有注册资本10841.0508万元人民币；公司官网披露的注册资金为10173.7019万元，两者差异应系不同时点的登记数据所致，以市场监督管理部门最新登记信息为准。公司注册资本规模在聊城市东昌府区汽车零部件与基础零部件企业中处于中上水平，且为精确到小数点后四位的非整数金额，具有典型的股份制改造折股特征，说明公司曾经历以净资产折股的规范化改制过程。</w:t>
      </w:r>
    </w:p>
    <w:p>
      <w:pPr>
        <w:spacing w:lineRule="exact" w:line="600" w:before="0" w:after="0"/>
        <w:ind w:firstLine="420"/>
        <w:jc w:val="both"/>
      </w:pPr>
      <w:r>
        <w:rPr>
          <w:rFonts w:ascii="仿宋_GB2312" w:hAnsi="仿宋_GB2312" w:eastAsia="仿宋_GB2312"/>
          <w:b w:val="0"/>
          <w:color w:val="000000"/>
          <w:sz w:val="32"/>
        </w:rPr>
        <w:t>按国民经济行业分类，公司归属于制造业—通用设备制造业—通用零部件制造—其他通用零部件制造。经营范围为一般项目：汽车零部件及配件制造；黑色金属铸造；轴承制造；金属废料和碎屑加工处理；汽车零部件研发；机械零件、零部件加工；技术服务、技术开发、技术咨询、技术交流、技术转让、技术推广；货物进出口；技术进出口；软件开发；齿轮及齿轮减、变速箱制造；通用设备制造（不含特种设备制造）。此外，据媒体报道，公司经营范围还涵盖车桥、汽车刹车制动器、制动鼓、轮毂、轴承及轴承配件、冲压件及机械配件的铸造、加工及销售，以及废钢铁、生产性废旧金属回收加工及销售等。</w:t>
      </w:r>
    </w:p>
    <w:p>
      <w:pPr>
        <w:spacing w:lineRule="exact" w:line="600" w:before="0" w:after="0"/>
        <w:ind w:firstLine="420"/>
        <w:jc w:val="both"/>
      </w:pPr>
      <w:r>
        <w:rPr>
          <w:rFonts w:ascii="仿宋_GB2312" w:hAnsi="仿宋_GB2312" w:eastAsia="仿宋_GB2312"/>
          <w:b w:val="0"/>
          <w:color w:val="000000"/>
          <w:sz w:val="32"/>
        </w:rPr>
        <w:t>股权结构方面，公司为自然人投资或控股的非上市股份有限公司，公开渠道未完整披露各股东持股比例明细。从企业类型标注与法定代表人信息判断，公司控制权归属于自然人股东及其一致行动人，无国有资本或外资背景，属于典型的鲁西民营制造业家族式企业。建议在实际业务合作中，通过调取国家企业信用信息公示系统完整股东名册、公司章程及股东会决议，核实实际控制人身份、持股比例、股权质押冻结情况与一致行动安排。</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一法人主体经营，工商登记显示无分支机构。内部按制造流程与职能设置组织单元，公开报道中可见"制造部"等生产管理部门建制（制造部部长张建春曾就智能化设备应用接受媒体采访）。结合企业规模判断，公司应设有生产制造、技术研发、质量管理、采购供应、市场营销、财务与人力资源等基本职能部门，组织形态为典型的直线职能制。</w:t>
      </w:r>
    </w:p>
    <w:p>
      <w:pPr>
        <w:spacing w:lineRule="exact" w:line="600" w:before="0" w:after="0"/>
        <w:ind w:firstLine="420"/>
        <w:jc w:val="both"/>
      </w:pPr>
      <w:r>
        <w:rPr>
          <w:rFonts w:ascii="仿宋_GB2312" w:hAnsi="仿宋_GB2312" w:eastAsia="仿宋_GB2312"/>
          <w:b w:val="0"/>
          <w:color w:val="000000"/>
          <w:sz w:val="32"/>
        </w:rPr>
        <w:t>人员规模方面，工商信息显示公司人员规模区间为100至499人，参保人数317人。以300人左右的用工规模支撑年产百余个品种的重卡制动系统产品，结合公司近年引入机械手等自动化设备（据公司制造部负责人介绍，单台机械手可节省约三分之二人力），说明公司已在推进"机器换人"与生产自动化改造，人均产出效率具备提升基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创立于2007年10月，自成立之初即专注于制动器系列产品的研发与制造，以卡车制动器为核心产品，是聊城市东昌府区由传统轴承配件加工向汽车核心安全部件延伸的代表性企业。这一路径与集群整体演进逻辑高度一致：依托当地深厚的冲压与热处理工艺积淀，将基础零部件能力向下游整车配套体系迁移，从而跳出低附加值的同质化竞争。</w:t>
      </w:r>
    </w:p>
    <w:p>
      <w:pPr>
        <w:spacing w:lineRule="exact" w:line="600" w:before="0" w:after="0"/>
        <w:ind w:firstLine="420"/>
        <w:jc w:val="both"/>
      </w:pPr>
      <w:r>
        <w:rPr>
          <w:rFonts w:ascii="仿宋_GB2312" w:hAnsi="仿宋_GB2312" w:eastAsia="仿宋_GB2312"/>
          <w:b w:val="0"/>
          <w:color w:val="000000"/>
          <w:sz w:val="32"/>
        </w:rPr>
        <w:t>经过十余年发展，公司完成了从单一零件供应商到系统总成供应商的升级，产品由冲焊制动蹄扩展至鼓式制动器总成、盘式制动器总成、制动鼓、制动轮毂、制动底板、车桥总成等，形成三大系列100多个品种的产品矩阵，并配置各类先进设备660余台（套）。公司完成股份制改造设立股份有限公司，明确提出"成为受人尊重的公众公司"的企业使命，显示出对接资本市场的长期战略意图。</w:t>
      </w:r>
    </w:p>
    <w:p>
      <w:pPr>
        <w:spacing w:lineRule="exact" w:line="600" w:before="0" w:after="0"/>
        <w:ind w:firstLine="420"/>
        <w:jc w:val="both"/>
      </w:pPr>
      <w:r>
        <w:rPr>
          <w:rFonts w:ascii="仿宋_GB2312" w:hAnsi="仿宋_GB2312" w:eastAsia="仿宋_GB2312"/>
          <w:b w:val="0"/>
          <w:color w:val="000000"/>
          <w:sz w:val="32"/>
        </w:rPr>
        <w:t>2023年4月，公司作为聊城市先进制造业代表企业，接受"走文化廊道、进经济园区、看山东高质量发展"行进式主题采访活动的集中报道，大众网·海报新闻等省级主流媒体对其研发能力与自动化生产水平给予正面评价，报道指出公司已研发新产品200多个，覆盖轻卡、重卡、客车、工程车四大系列，各类专利约40余件，其中"湿式多盘行驻缓一体化制动器"填补了国内空白。近年来公司还陆续开展温室气体排放核查、产品碳足迹核算，发布社会责任报告与利益相关方承诺书，在ESG与可持续发展信息披露方面走在同规模民营零部件企业前列，这通常是为进入国际主机厂供应链或筹备上市所做的合规准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知名的重卡制动系统制造企业"与"国内商用车轮端制动系统重要的生产基地"，企业愿景为"成为冲焊制动蹄生产领导者"，企业使命为"力得科技，成就客户"，核心价值观为"客户、奋斗、创新、务实、合作"。公司明确将"为客户创造价值""保持有效增长，永续经营"作为经营准则。</w:t>
      </w:r>
    </w:p>
    <w:p>
      <w:pPr>
        <w:spacing w:lineRule="exact" w:line="600" w:before="0" w:after="0"/>
        <w:ind w:firstLine="420"/>
        <w:jc w:val="both"/>
      </w:pPr>
      <w:r>
        <w:rPr>
          <w:rFonts w:ascii="仿宋_GB2312" w:hAnsi="仿宋_GB2312" w:eastAsia="仿宋_GB2312"/>
          <w:b w:val="0"/>
          <w:color w:val="000000"/>
          <w:sz w:val="32"/>
        </w:rPr>
        <w:t>主营业务为商用车（重卡、轻卡、客车、工程车）制动系统及轮端零部件的研发、生产与销售。核心产品包括：冲焊制动蹄、冲焊制动器总成、鼓式制动器总成、盘式制动器、制动毂、制动盘、制动轮毂、制动底板、冲压件、挡圈及车桥总成等。官网列示的热销产品包括楔式制动器总成4EM-J、轻卡制动器总成、6415矿车制动器、6083矿车制动器、153制动器、19.5吋盘式制动器、485后制动器、22.5吋轻量化盘式制动器等，产品谱系覆盖公路运输、城市客运、矿山工程等多种作业工况。</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企业，未公开披露分产品、分地区收入构成数据，财务数据未公开披露。根据公开的产品目录与官方表述，可判断其业务结构以商用车制动器总成及零部件为绝对主体，按产品形态可划分为三大系列：一是制动器总成类（鼓式、盘式、楔式制动器总成），属于系统集成产品，单价高、技术含量高、客户黏性强；二是制动核心零件类（冲焊制动蹄、制动鼓、制动盘、制动底板），是公司起家的传统优势品类；三是轮端与车桥类（制动轮毂、挡圈、车桥总成），属于向系统总成延伸的高附加值方向。</w:t>
      </w:r>
    </w:p>
    <w:p>
      <w:pPr>
        <w:spacing w:lineRule="exact" w:line="600" w:before="0" w:after="0"/>
        <w:ind w:firstLine="420"/>
        <w:jc w:val="both"/>
      </w:pPr>
      <w:r>
        <w:rPr>
          <w:rFonts w:ascii="仿宋_GB2312" w:hAnsi="仿宋_GB2312" w:eastAsia="仿宋_GB2312"/>
          <w:b w:val="0"/>
          <w:color w:val="000000"/>
          <w:sz w:val="32"/>
        </w:rPr>
        <w:t>从下游应用维度看，公司产品覆盖轻卡、重卡、客车、工程车四大系列，既有面向主机厂的前装配套（OEM），也应存在面向维修市场的后装替换件（AM）业务。商用车零部件行业通常前装毛利率较低但订单稳定、规模效应显著，后装毛利率较高但渠道分散、回款管理难度大，两类业务的占比结构将直接影响公司的盈利水平与营运资金周转效率，建议在实地尽调中重点核实。</w:t>
      </w:r>
    </w:p>
    <w:p>
      <w:pPr>
        <w:spacing w:lineRule="exact" w:line="600" w:before="120" w:after="120"/>
        <w:ind w:firstLine="420"/>
        <w:jc w:val="left"/>
      </w:pPr>
      <w:r>
        <w:rPr>
          <w:rFonts w:ascii="楷体_GB2312" w:hAnsi="楷体_GB2312" w:eastAsia="楷体_GB2312"/>
          <w:b w:val="0"/>
          <w:color w:val="000000"/>
          <w:sz w:val="32"/>
        </w:rPr>
        <w:t>（二）主要产品与技术</w:t>
      </w:r>
    </w:p>
    <w:p>
      <w:pPr>
        <w:spacing w:lineRule="exact" w:line="600" w:before="0" w:after="0"/>
        <w:ind w:firstLine="420"/>
        <w:jc w:val="both"/>
      </w:pPr>
      <w:r>
        <w:rPr>
          <w:rFonts w:ascii="仿宋_GB2312" w:hAnsi="仿宋_GB2312" w:eastAsia="仿宋_GB2312"/>
          <w:b w:val="0"/>
          <w:color w:val="000000"/>
          <w:sz w:val="32"/>
        </w:rPr>
        <w:t>制动系统是商用车最核心的主动安全部件，直接关系人身财产安全，其设计、制造与验证受国家强制性标准约束，行业准入门槛显著高于普通结构件。公司以"冲焊"工艺路线为技术特色：相较于传统铸造制动蹄，冲焊制动蹄采用钢板冲压后焊接成型，具有重量轻、一致性好、材料利用率高、疲劳强度优异等优点，契合商用车轻量化与节能减排的行业趋势。公司公开表述"研发的重卡制动系列产品现已达到国内先进水平，冲焊制动蹄达到国内领先水平"。</w:t>
      </w:r>
    </w:p>
    <w:p>
      <w:pPr>
        <w:spacing w:lineRule="exact" w:line="600" w:before="0" w:after="0"/>
        <w:ind w:firstLine="420"/>
        <w:jc w:val="both"/>
      </w:pPr>
      <w:r>
        <w:rPr>
          <w:rFonts w:ascii="仿宋_GB2312" w:hAnsi="仿宋_GB2312" w:eastAsia="仿宋_GB2312"/>
          <w:b w:val="0"/>
          <w:color w:val="000000"/>
          <w:sz w:val="32"/>
        </w:rPr>
        <w:t>技术亮点方面，公司研发的"湿式多盘行驻缓一体化制动器"被媒体报道为填补国内空白。该类产品将行车制动、驻车制动与缓速功能集成于一体，采用湿式多片结构，具有制动力矩大、热衰退小、密封防尘、维护周期长等优势，主要面向矿用车、重型工程车辆等严苛工况，是商用车制动系统向高端化演进的重要方向。若该产品实现规模化量产，将显著提升公司的产品档次与议价能力。</w:t>
      </w:r>
    </w:p>
    <w:p>
      <w:pPr>
        <w:spacing w:lineRule="exact" w:line="600" w:before="0" w:after="0"/>
        <w:ind w:firstLine="420"/>
        <w:jc w:val="both"/>
      </w:pPr>
      <w:r>
        <w:rPr>
          <w:rFonts w:ascii="仿宋_GB2312" w:hAnsi="仿宋_GB2312" w:eastAsia="仿宋_GB2312"/>
          <w:b w:val="0"/>
          <w:color w:val="000000"/>
          <w:sz w:val="32"/>
        </w:rPr>
        <w:t>知识产权方面，据公司制造部负责人向媒体介绍，公司各类研发专利约40余件。对于一家300人规模的零部件企业而言，该专利储备水平处于合理区间，但与集群内龙头企业（如金帝股份拥有国家企业技术中心并参与国家标准起草）相比仍有明显差距，建议持续关注其研发投入强度与高价值发明专利占比。</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结构是公司最突出的经营亮点。据公司官网与权威媒体报道，公司已为中国一汽（一汽解放）、中国重汽（济南重汽）、陕西重汽、北汽福田、东风汽车（中国二汽）、江淮汽车、华菱重卡、柳汽、中通客车、安徽安凯、汉德车桥、长春一汽车桥、诸城义和车桥等国内众多大型知名企业配套各类制动器、制动鼓、轮毂等产品，并且是一汽解放、中国重汽、陕西重汽、北汽福田、诸城义和等车桥公司的指定供应商。</w:t>
      </w:r>
    </w:p>
    <w:p>
      <w:pPr>
        <w:spacing w:lineRule="exact" w:line="600" w:before="0" w:after="0"/>
        <w:ind w:firstLine="420"/>
        <w:jc w:val="both"/>
      </w:pPr>
      <w:r>
        <w:rPr>
          <w:rFonts w:ascii="仿宋_GB2312" w:hAnsi="仿宋_GB2312" w:eastAsia="仿宋_GB2312"/>
          <w:b w:val="0"/>
          <w:color w:val="000000"/>
          <w:sz w:val="32"/>
        </w:rPr>
        <w:t>这一客户名单几乎覆盖了中国重卡行业的全部主流整车厂与主要车桥总成厂，含金量极高。商用车主机厂对制动系统供应商的认证极为严苛，通常需要经过产品设计验证（DV）、生产件批准程序（PPAP）、路试与耐久试验、体系审核等多轮考核，认证周期长达一到三年，一旦成为指定供应商，合作关系高度稳定、替换成本极高。公司同时进入多家竞争性主机厂的配套体系，说明其产品质量与交付能力已获得行业普遍认可，且客户结构相对分散，对单一客户的依赖风险较低。</w:t>
      </w:r>
    </w:p>
    <w:p>
      <w:pPr>
        <w:spacing w:lineRule="exact" w:line="600" w:before="0" w:after="0"/>
        <w:ind w:firstLine="420"/>
        <w:jc w:val="both"/>
      </w:pPr>
      <w:r>
        <w:rPr>
          <w:rFonts w:ascii="仿宋_GB2312" w:hAnsi="仿宋_GB2312" w:eastAsia="仿宋_GB2312"/>
          <w:b w:val="0"/>
          <w:color w:val="000000"/>
          <w:sz w:val="32"/>
        </w:rPr>
        <w:t>需要提示的是，商用车主机厂普遍具有较强的议价能力，账期通常较长（一般为月结60至120天，且多以商业承兑汇票结算），零部件供应商往往需承担较重的应收账款与票据贴现成本。这既是公司经营中的现实压力，也正是保理与供应链金融业务可以介入的价值所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热轧与冷轧钢板、型钢、铸铁（制动鼓、制动盘用）、摩擦材料及各类标准件，属于典型的钢材成本驱动型制造业。经营范围中包含"黑色金属铸造"与"金属废料和碎屑加工处理"，说明公司具备部分铸造环节的自制能力，并对生产过程中产生的边角废料进行回收再利用，有助于降低综合材料成本、提升材料利用率。</w:t>
      </w:r>
    </w:p>
    <w:p>
      <w:pPr>
        <w:spacing w:lineRule="exact" w:line="600" w:before="0" w:after="0"/>
        <w:ind w:firstLine="420"/>
        <w:jc w:val="both"/>
      </w:pPr>
      <w:r>
        <w:rPr>
          <w:rFonts w:ascii="仿宋_GB2312" w:hAnsi="仿宋_GB2312" w:eastAsia="仿宋_GB2312"/>
          <w:b w:val="0"/>
          <w:color w:val="000000"/>
          <w:sz w:val="32"/>
        </w:rPr>
        <w:t>公司地处聊城东昌府，周边钢材集散、冲压加工、热处理、表面处理配套完善，采购半径短、响应速度快，具备一定的区域供应链成本优势。但钢材价格受宏观经济与大宗商品周期影响波动较大，若与主机厂的价格调整机制不能有效联动，成本上涨压力将直接侵蚀毛利。具体供应商名单与采购集中度数据未公开披露。</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公司拥有各种先进设备660余台（套），产品形成三大系列100多个品种，是国内商用车轮端制动系统的重要生产基地。近年公司持续推进自动化改造，引入机械手等智能装备替代人工，据介绍单台机械手可节省约三分之二人力，在人工成本刚性上升的背景下有效对冲了用工压力。具体产能规模、产能利用率与在建项目情况未公开披露。</w:t>
      </w:r>
    </w:p>
    <w:p>
      <w:pPr>
        <w:spacing w:lineRule="exact" w:line="600" w:before="0" w:after="0"/>
        <w:ind w:firstLine="420"/>
        <w:jc w:val="both"/>
      </w:pPr>
      <w:r>
        <w:rPr>
          <w:rFonts w:ascii="仿宋_GB2312" w:hAnsi="仿宋_GB2312" w:eastAsia="仿宋_GB2312"/>
          <w:b w:val="0"/>
          <w:color w:val="000000"/>
          <w:sz w:val="32"/>
        </w:rPr>
        <w:t>资质方面，公司作为主流商用车主机厂的指定供应商，应已通过IATF 16949汽车行业质量管理体系认证（该认证为进入整车厂配套体系的必备门槛）。此外，公司已开展温室气体排放核查与产品碳足迹核算，并发布社会责任报告与利益相关方承诺书，在绿色制造与ESG合规方面具备先发意识，这对于承接出口订单与国际车企配套具有实质性帮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直销为主，通过技术营销团队直接对接整车厂与车桥厂的采购、技术部门，参与客户新车型的同步开发。官网列示的合作伙伴包括中国一汽、济南重汽、汉德车桥、中通客车、安徽安凯、义和车桥、福田汽车、华菱重卡、江淮汽车等，产品销往全国各地。经营范围含"货物进出口""技术进出口"，具备自营出口资质，但公开渠道未见其海外收入规模的具体表述。</w:t>
      </w:r>
    </w:p>
    <w:p>
      <w:pPr>
        <w:spacing w:lineRule="exact" w:line="600" w:before="0" w:after="0"/>
        <w:ind w:firstLine="420"/>
        <w:jc w:val="both"/>
      </w:pPr>
      <w:r>
        <w:rPr>
          <w:rFonts w:ascii="仿宋_GB2312" w:hAnsi="仿宋_GB2312" w:eastAsia="仿宋_GB2312"/>
          <w:b w:val="0"/>
          <w:color w:val="000000"/>
          <w:sz w:val="32"/>
        </w:rPr>
        <w:t>在渠道建设上，公司通过官方网站设置产品中心、新闻中心、人才招聘等模块，并公开发布碳足迹与社会责任信息，体现出较强的品牌形象管理意识。对于一家B2B属性的零部件企业而言，这种规范化的对外信息呈现有助于提升主机厂与金融机构对其的信任度。</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在国内商用车冲焊制动蹄细分领域具有较高的市场知名度，自我定位为"冲焊制动蹄生产领导者"的追求目标，并被媒体称为"国内商用车轮端制动系统重要的生产基地"。结合其覆盖全部主流重卡整车厂的客户结构判断，公司在该细分市场应处于国内第一梯队。具体营业收入、市场占有率、产销量等经营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股份有限公司，无公开发行的股票或债券，不属于法定信息披露义务主体，未在巨潮资讯网、证券交易所或其他公开渠道披露年度报告、审计报告及主要会计数据。经检索国家企业信用信息公示系统、天眼查、企查查等渠道，截至本报告统计时点，公司近三年营业收入、净利润、毛利率、资产负债率、经营活动现金流等关键财务指标均未公开披露。本报告严格遵循数据真实性原则，不对上述指标作任何估算、推断或引用未经核实的第三方数据。</w:t>
      </w:r>
    </w:p>
    <w:p>
      <w:pPr>
        <w:spacing w:lineRule="exact" w:line="600" w:before="0" w:after="0"/>
        <w:jc w:val="left"/>
      </w:pPr>
      <w:r>
        <w:rPr>
          <w:rFonts w:ascii="仿宋_GB2312" w:hAnsi="仿宋_GB2312" w:eastAsia="仿宋_GB2312"/>
          <w:b w:val="0"/>
          <w:color w:val="000000"/>
          <w:sz w:val="28"/>
        </w:rPr>
        <w:t>说明：财务数据未公开披露。建议在正式业务合作前，通过企业提供的经审计财务报表、银行流水、纳税申报表、征信报告等材料完成财务尽职调查。</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虽无具体财务数据，但可从行业与业务特征作出定性判断。商用车制动系统属于安全件，技术门槛与认证壁垒高于普通冲压件，行业平均毛利率通常高于一般结构件供应商；但另一方面，商用车行业周期性极强，主机厂年降压力持续存在，且公司客户集中于议价能力强的大型整车厂，毛利率上行空间受限。公司通过向制动器总成、车桥总成等系统级产品延伸，以及开发"湿式多盘行驻缓一体化制动器"等高端产品，正在努力提升产品附加值与盈利水平。</w:t>
      </w:r>
    </w:p>
    <w:p>
      <w:pPr>
        <w:spacing w:lineRule="exact" w:line="600" w:before="120" w:after="120"/>
        <w:ind w:firstLine="420"/>
        <w:jc w:val="left"/>
      </w:pPr>
      <w:r>
        <w:rPr>
          <w:rFonts w:ascii="楷体_GB2312" w:hAnsi="楷体_GB2312" w:eastAsia="楷体_GB2312"/>
          <w:b w:val="0"/>
          <w:color w:val="000000"/>
          <w:sz w:val="32"/>
        </w:rPr>
        <w:t>（三）资产质量分析</w:t>
      </w:r>
    </w:p>
    <w:p>
      <w:pPr>
        <w:spacing w:lineRule="exact" w:line="600" w:before="0" w:after="0"/>
        <w:ind w:firstLine="420"/>
        <w:jc w:val="both"/>
      </w:pPr>
      <w:r>
        <w:rPr>
          <w:rFonts w:ascii="仿宋_GB2312" w:hAnsi="仿宋_GB2312" w:eastAsia="仿宋_GB2312"/>
          <w:b w:val="0"/>
          <w:color w:val="000000"/>
          <w:sz w:val="32"/>
        </w:rPr>
        <w:t>公司拥有各类设备660余台（套），属于设备密集型制造企业，固定资产在总资产中占比预计较高，折旧压力较大，对产能利用率高度敏感。同时，作为主机厂配套供应商，应收账款与应收票据规模应占流动资产较大比重，存货中原材料（钢材）与在制品占用亦不容忽视。具体资产结构数据未公开披露，建议尽调时重点核查固定资产成新率、应收账款账龄结构与存货周转天数三项指标。</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公司注册资本10841.0508万元，资本金规模在同类民营零部件企业中处于中上水平，为债权人提供了一定的责任财产基础。作为设备投入较大且需垫资配套的制造企业，公司预计存在一定规模的银行借款与票据融资。具体负债规模、有息负债占比、资产负债率及对外担保情况未公开披露，建议通过人民银行企业征信报告、公示系统动产抵押与股权出质登记信息进行交叉验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商用车零部件企业的现金流特征十分典型："上游现汇采购钢材、下游长账期承兑收款"，经营活动现金流普遍承压，营运资金缺口刚性存在。公司客户以大型整车厂与车桥厂为主，结算多采用商业承兑汇票或银行承兑汇票，票据到期前若需变现则须承担贴现成本。这一结构性特征决定了公司对应收账款融资类产品存在真实、持续的需求。具体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缺乏公司自身财务数据的情况下，可参照同集群内已上市的金帝股份作为区域对标参考：金帝股份2025年实现营业收入20.20亿元、归母净利润1.47亿元、销售毛利率26.03%、销售净利率7.17%、加权平均净资产收益率6.63%。考虑到力得科技员工规模（参保317人）约为金帝股份（4793人）的十五分之一，且产品结构以商用车制动件为主，其收入体量与前者不具可比性，但制动系统作为安全件的毛利率水平理论上不应低于普通保持架产品。上述对标仅为定性参考，不构成对公司实际财务状况的任何判断。</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非上市、自然人投资或控股），依据《公司法》应设股东大会、董事会（或执行董事）、监事会（或监事），法定代表人为李路峰。相较于有限责任公司，股份有限公司在股东人数、股份转让、决议程序、信息披露等方面受到更为规范的约束，客观上有利于提升治理水平，也为未来引入战略投资者或申报上市预留了主体条件。公司明确提出"成为受人尊重的公众公司"，显示出治理规范化的主动意愿。</w:t>
      </w:r>
    </w:p>
    <w:p>
      <w:pPr>
        <w:spacing w:lineRule="exact" w:line="600" w:before="0" w:after="0"/>
        <w:ind w:firstLine="420"/>
        <w:jc w:val="both"/>
      </w:pPr>
      <w:r>
        <w:rPr>
          <w:rFonts w:ascii="仿宋_GB2312" w:hAnsi="仿宋_GB2312" w:eastAsia="仿宋_GB2312"/>
          <w:b w:val="0"/>
          <w:color w:val="000000"/>
          <w:sz w:val="32"/>
        </w:rPr>
        <w:t>但需客观指出，非上市股份公司不承担强制信息披露义务，外部无法获取其董事会构成、独立董事设置、专门委员会运作及关联交易决策程序等信息，治理透明度有限。建议在业务合作前调阅公司章程、近三年股东会与董事会决议、关联方清单，核实治理机制的实际运行情况。</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李路峰。公开报道中可见制造部部长张建春等中层管理人员的对外发声，反映出公司在生产制造环节配置了专职管理团队。作为一家成立近二十年的民营制造企业，公司管理层预计以创始团队与内部培养的技术管理骨干为主体，具有产业经验丰富、执行力强、决策链条短的优点，同时也可能存在职业经理人引进不足、管理体系依赖个人经验等民营企业共性问题。</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公司作为主流整车厂配套供应商，其质量管理体系必须满足汽车行业IATF 16949标准要求，涵盖先期产品质量策划（APQP）、生产件批准程序（PPAP）、失效模式与影响分析（FMEA）、测量系统分析（MSA）、统计过程控制（SPC）等五大工具的系统应用，内控要求显著高于一般制造企业。公司近年开展温室气体排放核查与产品碳足迹核算，并发布社会责任报告与利益相关方承诺书，表明其内部已建立起相对规范的数据统计、核算与对外披露流程，管理基础较为扎实。</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人员规模为100至499人区间，参保人数317人，人员结构以一线操作工与技术工人为主。公司持续通过官网发布销售经理等岗位招聘信息，面向山东省聊城市东昌府区招募人才。在人力资源管理上，公司面临两方面挑战：一是地处县域乡镇（郑家镇工业园），在吸引汽车工程、材料、自动化等专业高层次人才方面存在区位劣势；二是制造业一线用工老龄化与招工难在鲁西地区同样突出。公司通过引入机械手等自动化设备减少对普工的依赖，是应对该挑战的务实举措。</w:t>
      </w:r>
    </w:p>
    <w:p>
      <w:pPr>
        <w:spacing w:lineRule="exact" w:line="600" w:before="120" w:after="120"/>
        <w:ind w:firstLine="420"/>
        <w:jc w:val="left"/>
      </w:pPr>
      <w:r>
        <w:rPr>
          <w:rFonts w:ascii="黑体" w:hAnsi="黑体" w:eastAsia="黑体"/>
          <w:b w:val="0"/>
          <w:color w:val="000000"/>
          <w:sz w:val="32"/>
        </w:rPr>
        <w:t>五、核心竞争力（护城河）分析</w:t>
      </w:r>
    </w:p>
    <w:p>
      <w:pPr>
        <w:spacing w:lineRule="exact" w:line="600" w:before="0" w:after="0"/>
        <w:ind w:firstLine="420"/>
        <w:jc w:val="both"/>
      </w:pPr>
      <w:r>
        <w:rPr>
          <w:rFonts w:ascii="仿宋_GB2312" w:hAnsi="仿宋_GB2312" w:eastAsia="仿宋_GB2312"/>
          <w:b w:val="0"/>
          <w:color w:val="000000"/>
          <w:sz w:val="32"/>
        </w:rPr>
        <w:t>第一，客户资源壁垒。公司已进入一汽解放、中国重汽、陕西重汽、北汽福田、江淮汽车、华菱重卡、柳汽、东风汽车、中通客车、安徽安凯，以及汉德车桥、长春一汽车桥、诸城义和车桥等主流整车厂与车桥厂的配套体系，并成为其中多家的指定供应商。商用车安全件供应商认证周期长、审核严、替换成本高，这份客户名单本身即构成公司最坚实的护城河。</w:t>
      </w:r>
    </w:p>
    <w:p>
      <w:pPr>
        <w:spacing w:lineRule="exact" w:line="600" w:before="0" w:after="0"/>
        <w:ind w:firstLine="420"/>
        <w:jc w:val="both"/>
      </w:pPr>
      <w:r>
        <w:rPr>
          <w:rFonts w:ascii="仿宋_GB2312" w:hAnsi="仿宋_GB2312" w:eastAsia="仿宋_GB2312"/>
          <w:b w:val="0"/>
          <w:color w:val="000000"/>
          <w:sz w:val="32"/>
        </w:rPr>
        <w:t>第二，工艺技术壁垒。公司以冲焊工艺路线见长，"冲焊制动蹄达到国内领先水平"，在轻量化、一致性与疲劳强度方面具备相对铸造工艺的比较优势，契合商用车节能减排的长期趋势。</w:t>
      </w:r>
    </w:p>
    <w:p>
      <w:pPr>
        <w:spacing w:lineRule="exact" w:line="600" w:before="0" w:after="0"/>
        <w:ind w:firstLine="420"/>
        <w:jc w:val="both"/>
      </w:pPr>
      <w:r>
        <w:rPr>
          <w:rFonts w:ascii="仿宋_GB2312" w:hAnsi="仿宋_GB2312" w:eastAsia="仿宋_GB2312"/>
          <w:b w:val="0"/>
          <w:color w:val="000000"/>
          <w:sz w:val="32"/>
        </w:rPr>
        <w:t>第三，产品创新能力。公司已研发新产品200多个，覆盖轻卡、重卡、客车、工程车四大系列，并做到"开发一个成功一个"；其中"湿式多盘行驻缓一体化制动器"填补国内空白，展现出向高端制动系统突破的技术潜力。</w:t>
      </w:r>
    </w:p>
    <w:p>
      <w:pPr>
        <w:spacing w:lineRule="exact" w:line="600" w:before="0" w:after="0"/>
        <w:ind w:firstLine="420"/>
        <w:jc w:val="both"/>
      </w:pPr>
      <w:r>
        <w:rPr>
          <w:rFonts w:ascii="仿宋_GB2312" w:hAnsi="仿宋_GB2312" w:eastAsia="仿宋_GB2312"/>
          <w:b w:val="0"/>
          <w:color w:val="000000"/>
          <w:sz w:val="32"/>
        </w:rPr>
        <w:t>第四，产品谱系与柔性交付优势。三大系列100多个品种、660余台（套）设备的配置，使公司具备多品种、中小批量的柔性交付能力，能够同时服务多家整车厂的差异化需求，这在商用车车型迭代加快的背景下尤为重要。</w:t>
      </w:r>
    </w:p>
    <w:p>
      <w:pPr>
        <w:spacing w:lineRule="exact" w:line="600" w:before="0" w:after="0"/>
        <w:ind w:firstLine="420"/>
        <w:jc w:val="both"/>
      </w:pPr>
      <w:r>
        <w:rPr>
          <w:rFonts w:ascii="仿宋_GB2312" w:hAnsi="仿宋_GB2312" w:eastAsia="仿宋_GB2312"/>
          <w:b w:val="0"/>
          <w:color w:val="000000"/>
          <w:sz w:val="32"/>
        </w:rPr>
        <w:t>第五，产业集群配套优势。公司所处的聊城东昌府郑家镇拥有全国最密集的保持器与基础零部件产业生态，冲压、热处理、表面处理、模具配套齐全，物流半径短、响应快，综合制造成本具备竞争力。</w:t>
      </w:r>
    </w:p>
    <w:p>
      <w:pPr>
        <w:spacing w:lineRule="exact" w:line="600" w:before="0" w:after="0"/>
        <w:ind w:firstLine="420"/>
        <w:jc w:val="both"/>
      </w:pPr>
      <w:r>
        <w:rPr>
          <w:rFonts w:ascii="仿宋_GB2312" w:hAnsi="仿宋_GB2312" w:eastAsia="仿宋_GB2312"/>
          <w:b w:val="0"/>
          <w:color w:val="000000"/>
          <w:sz w:val="32"/>
        </w:rPr>
        <w:t>第六，ESG与绿色制造先发优势。在同规模民营零部件企业中，主动开展温室气体核查、产品碳足迹核算并发布社会责任报告的并不多见。随着整车厂将供应链碳排放纳入采购考核，这一先发布局有望转化为实实在在的订单优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商用车行业是典型的强周期行业，重卡销量与宏观固定资产投资、基建开工、物流运价、国四国五国六排放标准切换及治超政策高度相关，历史上年度销量波动幅度可超过百分之四十。公司产品几乎全部面向商用车市场，收入弹性极大，一旦行业进入下行周期，订单与产能利用率将同步承压。</w:t>
      </w:r>
    </w:p>
    <w:p>
      <w:pPr>
        <w:spacing w:lineRule="exact" w:line="600" w:before="0" w:after="0"/>
        <w:ind w:firstLine="420"/>
        <w:jc w:val="both"/>
      </w:pPr>
      <w:r>
        <w:rPr>
          <w:rFonts w:ascii="仿宋_GB2312" w:hAnsi="仿宋_GB2312" w:eastAsia="仿宋_GB2312"/>
          <w:b w:val="0"/>
          <w:color w:val="000000"/>
          <w:sz w:val="32"/>
        </w:rPr>
        <w:t>同时，商用车动力结构正在发生深刻变化，新能源重卡（换电重卡、氢燃料重卡）渗透率快速提升，电驱桥、电子机械制动（EMB）、线控制动等新技术路线可能对传统气压鼓式制动系统形成中长期替代压力。公司若不能及时布局线控与电控制动技术，存在技术路线被颠覆的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客户议价与年降风险。整车厂对零部件供应商普遍实行年度降价机制，若公司无法通过工艺改进与规模效应消化降价，毛利将持续被侵蚀。二是产品质量与召回风险。制动系统属于关乎生命安全的关键件，一旦发生批量质量事故，不仅面临巨额索赔与召回费用，更可能被永久移出主机厂供应商名录。三是原材料价格波动风险。钢材、铸铁、摩擦材料价格波动直接冲击成本，而价格传导往往存在滞后。</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最主要的是应收账款与票据风险。公司客户虽为大型整车厂，资信良好，但账期长、票据结算比例高，形成大量资金沉淀；若下游行业景气度下行导致整车厂自身现金流紧张，回款周期可能进一步拉长。其次是财务透明度风险：公司未公开披露任何财务数据，外部无法评估其真实的杠杆水平、盈利能力与偿债能力，信息不对称程度较高，这本身即构成授信决策中的重要风险因子。</w:t>
      </w:r>
    </w:p>
    <w:p>
      <w:pPr>
        <w:spacing w:lineRule="exact" w:line="600" w:before="120" w:after="120"/>
        <w:ind w:firstLine="420"/>
        <w:jc w:val="left"/>
      </w:pPr>
      <w:r>
        <w:rPr>
          <w:rFonts w:ascii="楷体_GB2312" w:hAnsi="楷体_GB2312" w:eastAsia="楷体_GB2312"/>
          <w:b w:val="0"/>
          <w:color w:val="000000"/>
          <w:sz w:val="32"/>
        </w:rPr>
        <w:t>（四）合规与治理风险</w:t>
      </w:r>
    </w:p>
    <w:p>
      <w:pPr>
        <w:spacing w:lineRule="exact" w:line="600" w:before="0" w:after="0"/>
        <w:ind w:firstLine="420"/>
        <w:jc w:val="both"/>
      </w:pPr>
      <w:r>
        <w:rPr>
          <w:rFonts w:ascii="仿宋_GB2312" w:hAnsi="仿宋_GB2312" w:eastAsia="仿宋_GB2312"/>
          <w:b w:val="0"/>
          <w:color w:val="000000"/>
          <w:sz w:val="32"/>
        </w:rPr>
        <w:t>公司经营范围涵盖黑色金属铸造与金属废料加工处理，涉及环保排放（粉尘、废气、废水、噪声）与安全生产（高温熔炼、冲压设备）监管重点领域，存在因环保督察、安全检查而被要求停产整改的可能性。治理层面，非上市股份公司信息披露有限，实际控制人身份、股权质押、对外担保、关联交易等情况均需专项核查，防范隐性负债与资金占用风险。</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公司地处县域乡镇，在吸引高端研发与管理人才方面存在客观困难；随着产品向线控制动、电子控制方向升级，对电子电气、软件算法人才的需求将快速上升，人才供给能否跟上技术演进节奏存在不确定性。</w:t>
      </w:r>
    </w:p>
    <w:p>
      <w:pPr>
        <w:spacing w:lineRule="exact" w:line="600" w:before="120" w:after="120"/>
        <w:ind w:firstLine="420"/>
        <w:jc w:val="left"/>
      </w:pPr>
      <w:r>
        <w:rPr>
          <w:rFonts w:ascii="楷体_GB2312" w:hAnsi="楷体_GB2312" w:eastAsia="楷体_GB2312"/>
          <w:b w:val="0"/>
          <w:color w:val="000000"/>
          <w:sz w:val="32"/>
        </w:rPr>
        <w:t>（六）公司现有应对措施</w:t>
      </w:r>
    </w:p>
    <w:p>
      <w:pPr>
        <w:spacing w:lineRule="exact" w:line="600" w:before="0" w:after="0"/>
        <w:ind w:firstLine="420"/>
        <w:jc w:val="both"/>
      </w:pPr>
      <w:r>
        <w:rPr>
          <w:rFonts w:ascii="仿宋_GB2312" w:hAnsi="仿宋_GB2312" w:eastAsia="仿宋_GB2312"/>
          <w:b w:val="0"/>
          <w:color w:val="000000"/>
          <w:sz w:val="32"/>
        </w:rPr>
        <w:t>针对上述风险，公司已采取的措施包括：通过覆盖轻卡、重卡、客车、工程车四大系列和众多整车厂客户实现风险分散，避免对单一车型或单一客户的过度依赖；持续研发投入，累计开发新产品200多个、取得专利40余件，并突破"湿式多盘行驻缓一体化制动器"等填补国内空白的高端产品，以技术升级对冲价格竞争；引入机械手等自动化设备推进"机器换人"，对冲人工成本上升与招工难；主动开展温室气体核查与产品碳足迹核算、发布社会责任报告，提前满足整车厂供应链ESG审核要求；完成股份制改造并明确"成为受人尊重的公众公司"目标，推动治理与财务规范化。</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山东力得汽车科技股份有限公司的融资需求具有典型的"配套型制造企业"特征，核心矛盾在于回款与付款的期限错配。公司下游为一汽解放、中国重汽、陕西重汽、北汽福田等大型整车厂与车桥厂，此类客户账期普遍在60至120天，且大量使用商业承兑汇票或银行承兑汇票结算；而上游钢材、铸铁、摩擦材料采购则多需现汇或短账期支付，中间形成刚性的营运资金缺口。同时，公司拥有660余台（套）设备并持续推进自动化改造与新产品产业化（如湿式多盘行驻缓一体化制动器），存在中长期设备投资需求。由于公司未上市、未公开披露财务数据，在银行体系内获得大额信用贷款的难度相对较大，更适合以真实贸易背景和实物资产为依托的产业金融工具，这恰是山东投资旗下保理、供应链金融与融资租赁业务的优势领域。</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保理业务是与力得科技合作的首选切入点，且风险相对可控。公司应收账款的付款方为一汽解放、中国重汽、陕西重汽、北汽福田、江淮汽车、东风汽车、中通客车等国内一线整车集团，以及汉德车桥、长春一汽车桥、诸城义和车桥等大型总成企业，付款主体资信优良、履约记录良好、确权流程规范，应收账款质量在民营零部件企业中属上乘。建议以"指定供应商"身份对应的核心客户订单为标的，开展有追索权保理或票据池融资，在解决企业燃眉之急的同时，将风险敞口实质性锚定在整车厂信用之上。</w:t>
      </w:r>
    </w:p>
    <w:p>
      <w:pPr>
        <w:spacing w:lineRule="exact" w:line="600" w:before="0" w:after="0"/>
        <w:ind w:firstLine="420"/>
        <w:jc w:val="both"/>
      </w:pPr>
      <w:r>
        <w:rPr>
          <w:rFonts w:ascii="仿宋_GB2312" w:hAnsi="仿宋_GB2312" w:eastAsia="仿宋_GB2312"/>
          <w:b w:val="0"/>
          <w:color w:val="000000"/>
          <w:sz w:val="32"/>
        </w:rPr>
        <w:t>操作要点上，建议优先选择应收账款确权清晰、付款方资信良好的核心客户订单开展有追索权保理，首期额度以企业上年度对该客户结算额的三至五成为宜，账期匹配真实回款周期并预留缓冲；同步要求企业提供近三年销售台账、增值税发票、出库单与对账单，建立"合同—发票—物流—回款"四流合一的验证机制，防范虚假贸易、重复融资与关联方虚构交易风险。对于向大型主机厂供货形成的应收账款，还应核查是否已在其他机构办理过质押或保理，避免权属瑕疵。</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力得科技处于"下游强、自身中、上游弱"的链条位置，既可作为反向保理的融资申请人，也可作为区域小型核心企业带动其上游配套厂。向下，可依托整车厂的付款信用为公司提供应收账款池融资与电子债权凭证贴现；向上，围绕其钢材采购、铸件外协、热处理与表面处理配套环节，为周边中小加工企业提供订单融资与预付款融资，形成"一链多户"的批量业务模式，契合聊城东昌府集群企业高度密集的地理特征。</w:t>
      </w:r>
    </w:p>
    <w:p>
      <w:pPr>
        <w:spacing w:lineRule="exact" w:line="600" w:before="0" w:after="0"/>
        <w:ind w:firstLine="420"/>
        <w:jc w:val="both"/>
      </w:pPr>
      <w:r>
        <w:rPr>
          <w:rFonts w:ascii="仿宋_GB2312" w:hAnsi="仿宋_GB2312" w:eastAsia="仿宋_GB2312"/>
          <w:b w:val="0"/>
          <w:color w:val="000000"/>
          <w:sz w:val="32"/>
        </w:rPr>
        <w:t>建议采取"1+N"模式：向上围绕钢材、铜材、化纤原丝等大宗原材料采购环节提供订单融资与预付款融资，帮助企业锁定价格、平抑波动；向下围绕经销与直供客户提供应收账款池融资与电子债权凭证流转服务，使核心企业信用向多级供应商穿透。同时可探索与地方产业园区管委会、行业协会合作，以集群整体授信方式降低单户尽调成本，提升业务的可复制性与规模效应。</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与公司的设备密集型属性高度契合。公司现有各类设备660余台（套），并在持续引入机械手、自动化生产线等智能装备。一方面，可为其新增的冲压机、焊接机器人、加工中心、检测台架等设备采购提供直租服务，缓解一次性资本支出压力；另一方面，更值得重点推介的是售后回租：将公司账面上成新率较高、通用性较强的存量设备（如大吨位冲床、数控加工中心）盘活为现金，直接补充营运资金，且租金可在税前列支，对未上市、银行授信空间有限的民营制造企业具有很强的现实吸引力。</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对精密冲压机、多工位级进模、数控加工中心、热处理生产线、自动化检测设备等标准化程度较高、二手市场活跃的设备，可采用直租或售后回租方式，租期建议三至五年，首付比例与保证金依企业资信分档设定；对专用性极强、拆装成本高的定制线体，则应审慎评估，必要时追加担保、提高首付比例或引入回购承诺。</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对公司本部适配度一般，但可作为两类场景的补充工具：一是覆盖公司上游的中小铸件厂、冲压作坊、模具厂与物流承运商，以"力得推荐+订单验证"方式批量授信；二是满足公司在旺季集中备货钢材、赶制订单时的临时性、短周期资金需求，额度建议控制在千万元以内、期限六个月至一年，以应收账款质押或实际控制人连带保证增信。</w:t>
      </w:r>
    </w:p>
    <w:p>
      <w:pPr>
        <w:spacing w:lineRule="exact" w:line="600" w:before="0" w:after="0"/>
        <w:ind w:firstLine="420"/>
        <w:jc w:val="both"/>
      </w:pPr>
      <w:r>
        <w:rPr>
          <w:rFonts w:ascii="仿宋_GB2312" w:hAnsi="仿宋_GB2312" w:eastAsia="仿宋_GB2312"/>
          <w:b w:val="0"/>
          <w:color w:val="000000"/>
          <w:sz w:val="32"/>
        </w:rPr>
        <w:t>小额贷款可作为覆盖集群内中小配套企业的"毛细血管"型产品，重点解决旺季备货、临时性用工、订单赶工等短频快资金需求。建议单户额度控制在百万元至千万元区间，期限以六个月至一年为主，采用"信用+保证+订单质押"的组合增信方式，并借助核心企业推荐名单、园区白名单、纳税与用电数据构建准入模型，实现批量获客与风险分层定价。</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重点把握五点：一是鉴于公司财务数据未公开披露，务必在准入阶段取得经会计师事务所审计的近三年财务报表、完整银行流水、纳税申报表与人民银行企业征信报告，并与其向整车厂的实际供货台账相互印证；二是核查国家企业信用信息公示系统中的动产抵押、股权出质、行政处罚与经营异常记录，以及裁判文书网的涉诉情况，排查隐性负债与对外担保；三是紧盯商用车行业景气度指标（重卡月度销量、物流运价指数），在行业下行周期主动压降敞口；四是关注公司在新能源重卡与线控制动技术路线上的布局进展，将其作为中长期授信的重要判断依据；五是关注环保与安全生产监管风险，核实其铸造与冲压环节的排污许可、安全生产标准化等级与近年检查整改情况。总体判断，公司客户资源优质、细分行业地位稳固、治理规范化意愿明确，属于集群内值得重点开发的优质民营配套企业，建议以保理与融资租赁为突破口建立合作。</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力得汽车科技股份有限公司是聊城东昌府基础零部件产业集群中成功实现"跨界升级"的代表性企业：它以当地深厚的冲压与金属加工工艺积淀为起点，跳出竞争激烈的保持器与轴承配件红海，切入技术门槛与认证壁垒更高的商用车制动系统赛道，并成功进入几乎全部主流重卡整车厂的配套体系，成为一汽解放、中国重汽、陕西重汽、北汽福田、诸城义和等企业的指定供应商，被誉为国内商用车轮端制动系统的重要生产基地。</w:t>
      </w:r>
    </w:p>
    <w:p>
      <w:pPr>
        <w:spacing w:lineRule="exact" w:line="600" w:before="0" w:after="0"/>
        <w:ind w:firstLine="420"/>
        <w:jc w:val="both"/>
      </w:pPr>
      <w:r>
        <w:rPr>
          <w:rFonts w:ascii="仿宋_GB2312" w:hAnsi="仿宋_GB2312" w:eastAsia="仿宋_GB2312"/>
          <w:b w:val="0"/>
          <w:color w:val="000000"/>
          <w:sz w:val="32"/>
        </w:rPr>
        <w:t>公司的突出优势在于客户资源与产品谱系：三大系列100多个品种、660余台（套）设备、200多个自主研发新产品、40余件专利，以及填补国内空白的"湿式多盘行驻缓一体化制动器"，共同构成了较为坚实的竞争基础。同时，公司在ESG信息披露、股份制改造、"成为受人尊重的公众公司"的战略追求等方面，展现出超越同规模民营企业的规范化意识。</w:t>
      </w:r>
    </w:p>
    <w:p>
      <w:pPr>
        <w:spacing w:lineRule="exact" w:line="600" w:before="0" w:after="0"/>
        <w:ind w:firstLine="420"/>
        <w:jc w:val="both"/>
      </w:pPr>
      <w:r>
        <w:rPr>
          <w:rFonts w:ascii="仿宋_GB2312" w:hAnsi="仿宋_GB2312" w:eastAsia="仿宋_GB2312"/>
          <w:b w:val="0"/>
          <w:color w:val="000000"/>
          <w:sz w:val="32"/>
        </w:rPr>
        <w:t>主要不足在于：一是公司未公开披露任何财务数据，外部对其盈利能力、杠杆水平与现金流状况无从判断，信息不对称程度高；二是收入结构高度集中于强周期的商用车市场，缺乏跨行业对冲；三是面对新能源重卡与线控制动的技术变革，公开信息中尚未看到清晰的应对布局。综合判断，公司属于"客户优质、技术扎实、周期敏感、信息透明度待提升"型企业。</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公开表述的战略追求与商用车行业发展趋势判断，公司未来发展路径主要有三：一是继续沿"零件—总成—系统"方向攀升，扩大制动器总成与车桥总成占比，提升单车配套价值量；二是以"湿式多盘行驻缓一体化制动器"等高端产品为突破口，进入矿用车、重型工程车等高毛利细分市场；三是推进治理与财务规范化，向"受人尊重的公众公司"目标迈进，不排除未来引入战略投资者或申报资本市场的可能。此外，随着商用车电动化推进，布局线控制动与电驱桥配套件将是公司必须面对的战略课题。</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其一，如何在整车厂持续年降与钢材价格波动的双重挤压下守住合理利润空间；其二，如何应对商用车行业剧烈的周期波动，在下行周期保持现金流安全；其三，如何在新能源与智能化技术路线切换中完成从机械制动向电控制动的能力跃迁；其四，如何在县域乡镇区位条件下持续吸引与留住高层次技术人才。</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山东力得汽车科技股份有限公司客户资源优质、细分领域地位稳固、技术创新有实绩、规范化意愿强烈，是聊城东昌府集群中值得优先合作的非上市优质民营制造企业。其应收账款质量高、设备资产扎实，与保理、融资租赁两类业务天然契合。</w:t>
      </w:r>
    </w:p>
    <w:p>
      <w:pPr>
        <w:spacing w:lineRule="exact" w:line="600" w:before="0" w:after="0"/>
        <w:ind w:firstLine="420"/>
        <w:jc w:val="both"/>
      </w:pPr>
      <w:r>
        <w:rPr>
          <w:rFonts w:ascii="仿宋_GB2312" w:hAnsi="仿宋_GB2312" w:eastAsia="仿宋_GB2312"/>
          <w:b w:val="0"/>
          <w:color w:val="000000"/>
          <w:sz w:val="32"/>
        </w:rPr>
        <w:t>建议：一是尽快开展实地尽职调查，重点取得经审计财务报表并核实其向一汽解放、中国重汽等核心客户的真实供货与结算数据，在此基础上核定综合授信额度；二是以核心客户应收账款保理为首个合作产品建立信任，再逐步导入设备售后回租，实现"短期营运资金+中长期设备资金"的组合服务；三是依托公司在集群内的配套网络，向其上游中小供应商延伸供应链金融与小额贷款业务；四是建立以重卡行业月度销量、公司订单排产与回款情况为核心的季度跟踪机制，在行业周期转换时及时调整敞口；五是关注公司股份制改造后的资本运作动向，若其启动引战或上市辅导，可探索"融资+投资"的综合服务方案。</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国家企业信用信息公示系统及天眼查企业工商登记信息（统一社会信用代码91371500668063861P，数据更新至2026年）。</w:t>
        <w:br/>
        <w:t>2. 山东力得汽车科技股份有限公司官方网站 www.shandonglide.com（公司简介、企业文化、产品中心、新闻中心、招聘信息栏目）。</w:t>
        <w:br/>
        <w:t>3. 大众网·海报新闻《走文化廊道 看高质量发展丨聊城这家公司专注于制动器产品研发 有产品填补了国内空白》（2023年4月）。</w:t>
        <w:br/>
        <w:t>4. 公司官网公开的温室气体排放核查、产品碳足迹、社会责任报告、利益相关方承诺书等ESG披露信息。</w:t>
        <w:br/>
        <w:t>5. 同集群对标企业金帝股份（603270.SH）2025年年度报告相关财务指标，用于区域定性对标参考。</w:t>
        <w:br/>
        <w:t>特别说明：公司为非上市股份有限公司，不承担法定信息披露义务，其营业收入、净利润、毛利率、资产负债率、经营活动现金流等财务数据未公开披露，本报告未作任何估算或推断。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