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山东聊城东昌府（基础零部件—保持器）特色产业集群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山东金帝保持器科技有限公司企业分析报告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爱企查工商登记信息、上海证券交易所公开信息、金帝股份2025年年度报告、企业官方网站及行业公开资料，统计时点截至2026年8月。特别提示：经多渠道公开检索，未发现与"山东金帝保持器科技有限公司"名称完全一致的存续市场主体登记记录，本报告已在第一部分对名称核验情况作专门说明，并以聊城金帝体系内从事保持器业务的实际经营主体为分析对象，所有结论均以公开可查证信息为限，未公开披露的财务数据均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（一）工商信息与名称核验说明</w:t>
      </w:r>
    </w:p>
    <w:p>
      <w:pPr>
        <w:spacing w:lineRule="exact" w:line="600" w:before="0" w:after="0"/>
        <w:ind w:firstLine="420"/>
        <w:jc w:val="both"/>
      </w:pPr>
      <w:r>
        <w:rPr>
          <w:rFonts w:ascii="仿宋_GB2312" w:hAnsi="仿宋_GB2312" w:eastAsia="仿宋_GB2312"/>
          <w:b w:val="0"/>
          <w:color w:val="000000"/>
          <w:sz w:val="32"/>
        </w:rPr>
        <w:t>本报告首先必须就企业名称的核验情况作出如实说明。经在国家企业信用信息公示系统、天眼查、企查查、爱企查等多个公开工商信息渠道进行检索，截至2026年8月本报告统计时点，未能检索到名称为"山东金帝保持器科技有限公司"且处于存续状态的市场主体登记记录。检索过程中发现两个与该名称高度相近、且同属聊城东昌府"金帝"品牌体系的实际经营主体，现分别说明如下，供业务开展时进一步核实。</w:t>
      </w:r>
    </w:p>
    <w:p>
      <w:pPr>
        <w:spacing w:lineRule="exact" w:line="600" w:before="0" w:after="0"/>
        <w:ind w:firstLine="420"/>
        <w:jc w:val="both"/>
      </w:pPr>
      <w:r>
        <w:rPr>
          <w:rFonts w:ascii="仿宋_GB2312" w:hAnsi="仿宋_GB2312" w:eastAsia="仿宋_GB2312"/>
          <w:b w:val="0"/>
          <w:color w:val="000000"/>
          <w:sz w:val="32"/>
        </w:rPr>
        <w:t>主体一：聊城市新欣金帝保持器科技有限公司。统一社会信用代码91371500663544674C，注册号371500228047043，组织机构代码66354467-4，英文名称Liaocheng Xinxin Golden Empire Bearing Cages Technology Co.,Ltd。成立时间2007年6月26日，注册资本12100万元人民币，法定代表人郑广申，企业类型为有限责任公司（自然人投资或控股），注册地址为聊城市郑家镇驻地，登记机关为聊城市市场监督管理局。经营范围为轴承保持器研发及相关咨询、技术推广；轴承配件、机械配件加工、销售；自营和代理各类商品和技术的进出口业务。该主体已于2021年8月17日办理注销登记，注销原因为决议解散。从名称构成、注册地址、经营范围与注册资本规模判断，该主体是与本报告目标企业最为接近的登记实体，其注销时点（2021年）恰在金帝股份申报IPO并于2023年上市的进程之中，符合拟上市企业在申报前清理同业竞争与关联主体、规范股权结构的通行做法。</w:t>
      </w:r>
    </w:p>
    <w:p>
      <w:pPr>
        <w:spacing w:lineRule="exact" w:line="600" w:before="0" w:after="0"/>
        <w:ind w:firstLine="420"/>
        <w:jc w:val="both"/>
      </w:pPr>
      <w:r>
        <w:rPr>
          <w:rFonts w:ascii="仿宋_GB2312" w:hAnsi="仿宋_GB2312" w:eastAsia="仿宋_GB2312"/>
          <w:b w:val="0"/>
          <w:color w:val="000000"/>
          <w:sz w:val="32"/>
        </w:rPr>
        <w:t>主体二：聊城市金帝保持器厂。该主体始创于1985年，前身为"金帝精工制造有限公司"，2005年更为现名，注册类型为私营独资企业（生产加工），法定代表人郭鑫，注册机关为聊城市东昌府区市场监督管理局，主营产品为轴承保持架、深沟球轴承保持器、铜质分离架、静音深沟球轴承保持器、不锈钢深沟球轴承保持器、渗氮深沟球轴承保持器等，经营范围为轴承配件、机械配件生产与销售。该主体是聊城"金帝"品牌在保持器领域的历史源头企业。</w:t>
      </w:r>
    </w:p>
    <w:p>
      <w:pPr>
        <w:spacing w:lineRule="exact" w:line="600" w:before="0" w:after="0"/>
        <w:ind w:firstLine="420"/>
        <w:jc w:val="both"/>
      </w:pPr>
      <w:r>
        <w:rPr>
          <w:rFonts w:ascii="仿宋_GB2312" w:hAnsi="仿宋_GB2312" w:eastAsia="仿宋_GB2312"/>
          <w:b w:val="0"/>
          <w:color w:val="000000"/>
          <w:sz w:val="32"/>
        </w:rPr>
        <w:t>此外需要指出，本集群的链主企业山东金帝精密机械科技股份有限公司（金帝股份，603270.SH，统一社会信用代码91371500MA3CJ2B45B，成立于2016年10月9日，注册资本21910.6667万元，注册地址聊城市东昌府区郑家镇工业区66号，法定代表人郑广会），其主营业务即为轴承保持架的研发、生产与销售，是国内生产规模最大的轴承保持器专业生产厂家、国家级制造业单项冠军企业。据企业信用信息平台显示，"金帝股份"企业集团成员企业约15家，上市公司本部对外投资4家。综合判断，"山东金帝保持器科技有限公司"很可能是对上述金帝体系内保持器业务承载主体的习惯性、简称式表述，或系集群企业名录在采集整理过程中产生的名称偏差。</w:t>
      </w:r>
    </w:p>
    <w:p>
      <w:pPr>
        <w:spacing w:lineRule="exact" w:line="600" w:before="0" w:after="0"/>
        <w:ind w:firstLine="420"/>
        <w:jc w:val="both"/>
      </w:pPr>
      <w:r>
        <w:rPr>
          <w:rFonts w:ascii="仿宋_GB2312" w:hAnsi="仿宋_GB2312" w:eastAsia="仿宋_GB2312"/>
          <w:b w:val="0"/>
          <w:color w:val="000000"/>
          <w:sz w:val="32"/>
        </w:rPr>
        <w:t>基于上述核验结论，本报告的分析对象界定为"聊城金帝体系内从事轴承保持器研发制造的经营主体及其业务板块"，在具体论述中，凡涉及已注销主体的信息，均标注为历史情况；凡涉及现存业务的分析，均以金帝股份公开披露的保持架业务数据为依据。强烈建议在开展任何实质性业务合作前，先行通过国家企业信用信息公示系统核准准确的交易主体名称、统一社会信用代码、登记状态与法定代表人信息，避免主体不适格导致的合同效力风险。</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从历史沿革看，金帝体系在保持器领域曾采取"多主体、分工序"的组织形态：聊城市金帝保持器厂承担早期的生产制造职能；聊城市新欣金帝保持器科技有限公司注册资本达12100万元、经营范围突出"研发及相关咨询、技术推广"，定位偏向研发与技术平台，并承担轴承配件、机械配件的加工销售与进出口业务；2016年设立的山东金帝精密机械科技股份有限公司则作为规范化的股份公司平台，整合业务、资产与人员，最终对接资本市场。</w:t>
      </w:r>
    </w:p>
    <w:p>
      <w:pPr>
        <w:spacing w:lineRule="exact" w:line="600" w:before="0" w:after="0"/>
        <w:ind w:firstLine="420"/>
        <w:jc w:val="both"/>
      </w:pPr>
      <w:r>
        <w:rPr>
          <w:rFonts w:ascii="仿宋_GB2312" w:hAnsi="仿宋_GB2312" w:eastAsia="仿宋_GB2312"/>
          <w:b w:val="0"/>
          <w:color w:val="000000"/>
          <w:sz w:val="32"/>
        </w:rPr>
        <w:t>2021年8月新欣金帝保持器科技有限公司注销后，保持器业务已实质性集中于上市主体金帝股份。金帝股份现采用"股东大会—董事会—监事会—经理层"的现代企业治理架构，经营层面按业务属性划分为轴承保持架事业板块与精密零部件事业板块，形成"双轮驱动"格局，并配套设置国家企业技术中心、模具中心、质量管理中心、供应链管理中心与营销中心等职能单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1985年，金帝精工制造有限公司创立于聊城市郑家开发区，开启了聊城保持器产业的品牌化历程。2005年，该主体更名为聊城市金帝保持器厂，成为当时中国规模最大的专业轴承保持器生产厂家，也是国内第一家通过ISO9001国际质量保证体系认证的轴承保持器厂家。据其公开资料，该厂员工总数一千四百余人，拥有企业管理教授1人、工程师若干、专业管理人员28人，主要设备536台（套），自动、半自动生产线18条，年生产能力达2.4亿套，精度等级为AI级，可生产各种类型轴承保持器2000余种，为国内外各大知名轴承公司配套，并远销美国、日本、韩国、意大利、瑞士及东南亚等国家和地区。</w:t>
      </w:r>
    </w:p>
    <w:p>
      <w:pPr>
        <w:spacing w:lineRule="exact" w:line="600" w:before="0" w:after="0"/>
        <w:ind w:firstLine="420"/>
        <w:jc w:val="both"/>
      </w:pPr>
      <w:r>
        <w:rPr>
          <w:rFonts w:ascii="仿宋_GB2312" w:hAnsi="仿宋_GB2312" w:eastAsia="仿宋_GB2312"/>
          <w:b w:val="0"/>
          <w:color w:val="000000"/>
          <w:sz w:val="32"/>
        </w:rPr>
        <w:t>2007年6月，聊城市新欣金帝保持器科技有限公司设立，注册资本12100万元，将研发与技术推广作为核心定位，标志着金帝体系由单纯制造向"研发+制造"双轮转型。</w:t>
      </w:r>
    </w:p>
    <w:p>
      <w:pPr>
        <w:spacing w:lineRule="exact" w:line="600" w:before="0" w:after="0"/>
        <w:ind w:firstLine="420"/>
        <w:jc w:val="both"/>
      </w:pPr>
      <w:r>
        <w:rPr>
          <w:rFonts w:ascii="仿宋_GB2312" w:hAnsi="仿宋_GB2312" w:eastAsia="仿宋_GB2312"/>
          <w:b w:val="0"/>
          <w:color w:val="000000"/>
          <w:sz w:val="32"/>
        </w:rPr>
        <w:t>2016年9月至10月，郑广会与聊城市金帝企业管理咨询有限公司共同发起设立山东金帝精密机械科技股份有限公司，设立时注册资本10000万元，其中金帝咨询出资8000万元、郑广会出资2000万元，完成股份制改造。</w:t>
      </w:r>
    </w:p>
    <w:p>
      <w:pPr>
        <w:spacing w:lineRule="exact" w:line="600" w:before="0" w:after="0"/>
        <w:ind w:firstLine="420"/>
        <w:jc w:val="both"/>
      </w:pPr>
      <w:r>
        <w:rPr>
          <w:rFonts w:ascii="仿宋_GB2312" w:hAnsi="仿宋_GB2312" w:eastAsia="仿宋_GB2312"/>
          <w:b w:val="0"/>
          <w:color w:val="000000"/>
          <w:sz w:val="32"/>
        </w:rPr>
        <w:t>2021年8月17日，聊城市新欣金帝保持器科技有限公司因决议解散办理注销登记，金帝体系完成了申报上市前的关联主体清理与业务整合。</w:t>
      </w:r>
    </w:p>
    <w:p>
      <w:pPr>
        <w:spacing w:lineRule="exact" w:line="600" w:before="0" w:after="0"/>
        <w:ind w:firstLine="420"/>
        <w:jc w:val="both"/>
      </w:pPr>
      <w:r>
        <w:rPr>
          <w:rFonts w:ascii="仿宋_GB2312" w:hAnsi="仿宋_GB2312" w:eastAsia="仿宋_GB2312"/>
          <w:b w:val="0"/>
          <w:color w:val="000000"/>
          <w:sz w:val="32"/>
        </w:rPr>
        <w:t>2023年8月23日，金帝股份完成首次公开发行，发行5477.6667万股，发行价21.77元/股，募集资金总额11.92亿元、净额10.91亿元；2023年9月1日在上海证券交易所主板挂牌上市。至此，聊城金帝保持器业务完成了从乡镇作坊到主板上市公司的四十年跨越。2026年3月，公司进一步推进向不特定对象发行可转换公司债券事项，持续深化直接融资。</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金帝体系保持器业务的定位是"全球轴承保持架专业供应商"，其研发方向明确聚焦于高端精密轴承保持器的设计开发、理论研究、材料研究与检测试验，集保持架设计、试验、检测、分析、研究、鉴定于一体，致力于为用户提供轴承保持器产品及全流程技术服务。</w:t>
      </w:r>
    </w:p>
    <w:p>
      <w:pPr>
        <w:spacing w:lineRule="exact" w:line="600" w:before="0" w:after="0"/>
        <w:ind w:firstLine="420"/>
        <w:jc w:val="both"/>
      </w:pPr>
      <w:r>
        <w:rPr>
          <w:rFonts w:ascii="仿宋_GB2312" w:hAnsi="仿宋_GB2312" w:eastAsia="仿宋_GB2312"/>
          <w:b w:val="0"/>
          <w:color w:val="000000"/>
          <w:sz w:val="32"/>
        </w:rPr>
        <w:t>主营产品覆盖深沟球轴承保持器、圆锥滚子轴承保持架、调心滚子轴承保持架、铜质分离架、静音型保持器、不锈钢保持器、渗氮保持器以及风电专用大型保持架等，规格型号逾两千种，精度等级达AI级，广泛应用于轨道交通、汽车、数控机床、风力发电、工程机械、新能源汽车、家用电器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以金帝股份披露的公开数据观察保持器业务的经营全貌：2025年，公司轴承保持架及配件等产品实现营业收入8.34亿元，同比增长30.81%，占公司营业收入的41.28%。其中，风电领域系列产品实现收入3.91亿元，同比增长61.02%，占保持架板块收入比重接近半数，成为保持器业务增长的核心引擎。</w:t>
      </w:r>
    </w:p>
    <w:p>
      <w:pPr>
        <w:spacing w:lineRule="exact" w:line="600" w:before="0" w:after="0"/>
        <w:ind w:firstLine="420"/>
        <w:jc w:val="both"/>
      </w:pPr>
      <w:r>
        <w:rPr>
          <w:rFonts w:ascii="仿宋_GB2312" w:hAnsi="仿宋_GB2312" w:eastAsia="仿宋_GB2312"/>
          <w:b w:val="0"/>
          <w:color w:val="000000"/>
          <w:sz w:val="32"/>
        </w:rPr>
        <w:t>这一结构变化揭示了保持器业务的深层演进逻辑：传统的通用型深沟球轴承保持器市场竞争激烈、价格透明、毛利率偏低，而风电大兆瓦机型所需的大型保持架对材料一致性、尺寸稳定性、疲劳强度与批次可靠性要求极高，有能力供货的企业数量有限，附加值显著更高。金帝体系正是通过向风电等高端应用场景的结构性迁移，摆脱了保持器行业普遍的低价内卷困局。</w:t>
      </w:r>
    </w:p>
    <w:p>
      <w:pPr>
        <w:spacing w:lineRule="exact" w:line="600" w:before="0" w:after="0"/>
        <w:ind w:firstLine="420"/>
        <w:jc w:val="both"/>
      </w:pPr>
      <w:r>
        <w:rPr>
          <w:rFonts w:ascii="仿宋_GB2312" w:hAnsi="仿宋_GB2312" w:eastAsia="仿宋_GB2312"/>
          <w:b w:val="0"/>
          <w:color w:val="000000"/>
          <w:sz w:val="32"/>
        </w:rPr>
        <w:t>需说明的是，上述数据为上市公司合并报表口径下的保持架板块数据。已注销的聊城市新欣金帝保持器科技有限公司与聊城市金帝保持器厂的独立财务数据均未公开披露。</w:t>
      </w:r>
    </w:p>
    <w:p>
      <w:pPr>
        <w:spacing w:lineRule="exact" w:line="600" w:before="120" w:after="120"/>
        <w:ind w:firstLine="420"/>
        <w:jc w:val="left"/>
      </w:pPr>
      <w:r>
        <w:rPr>
          <w:rFonts w:ascii="楷体_GB2312" w:hAnsi="楷体_GB2312" w:eastAsia="楷体_GB2312"/>
          <w:b w:val="0"/>
          <w:color w:val="000000"/>
          <w:sz w:val="32"/>
        </w:rPr>
        <w:t>（二）主要产品与技术</w:t>
      </w:r>
    </w:p>
    <w:p>
      <w:pPr>
        <w:spacing w:lineRule="exact" w:line="600" w:before="0" w:after="0"/>
        <w:ind w:firstLine="420"/>
        <w:jc w:val="both"/>
      </w:pPr>
      <w:r>
        <w:rPr>
          <w:rFonts w:ascii="仿宋_GB2312" w:hAnsi="仿宋_GB2312" w:eastAsia="仿宋_GB2312"/>
          <w:b w:val="0"/>
          <w:color w:val="000000"/>
          <w:sz w:val="32"/>
        </w:rPr>
        <w:t>轴承保持架（保持器）是滚动轴承四大基础件之一，其功能是均匀隔离滚动体、引导滚动体沿正确轨道运转、防止滚动体脱落。虽然单件价值量在轴承成本中占比不高，但保持架的结构设计、材料选型与制造精度直接决定轴承的极限转速、温升水平、振动噪声与疲劳寿命，是典型的"小零件、大影响"关键件。</w:t>
      </w:r>
    </w:p>
    <w:p>
      <w:pPr>
        <w:spacing w:lineRule="exact" w:line="600" w:before="0" w:after="0"/>
        <w:ind w:firstLine="420"/>
        <w:jc w:val="both"/>
      </w:pPr>
      <w:r>
        <w:rPr>
          <w:rFonts w:ascii="仿宋_GB2312" w:hAnsi="仿宋_GB2312" w:eastAsia="仿宋_GB2312"/>
          <w:b w:val="0"/>
          <w:color w:val="000000"/>
          <w:sz w:val="32"/>
        </w:rPr>
        <w:t>从材质路线看，保持器主要分为钢制冲压保持架、黄铜实体保持架、工程塑料（尼龙、PEEK）保持架三大类。金帝体系产品覆盖冷轧钢带、不锈钢带、黄铜带等多种材质，并在静音处理、渗氮强化等表面与热处理工艺上形成专门技术，推出静音深沟球轴承保持器、渗氮深沟球轴承保持器等差异化品种，对应家电电机静音化、重载工况长寿命化等细分需求。</w:t>
      </w:r>
    </w:p>
    <w:p>
      <w:pPr>
        <w:spacing w:lineRule="exact" w:line="600" w:before="0" w:after="0"/>
        <w:ind w:firstLine="420"/>
        <w:jc w:val="both"/>
      </w:pPr>
      <w:r>
        <w:rPr>
          <w:rFonts w:ascii="仿宋_GB2312" w:hAnsi="仿宋_GB2312" w:eastAsia="仿宋_GB2312"/>
          <w:b w:val="0"/>
          <w:color w:val="000000"/>
          <w:sz w:val="32"/>
        </w:rPr>
        <w:t>制造工艺方面，保持器生产以多工位级进冲压为核心，涉及开卷、校平、落料、拉深、翻边、冲孔、整形等数十道工序，对模具设计寿命、冲床精度与在线检测能力要求极高。金帝体系的核心竞争力正在于自主模具设计制造能力与两千余种规格的工艺数据库，这也是其后来能够将精密冲压能力横向迁移至新能源汽车电驱动定转子铁芯领域的技术根基。</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保持器产品的直接客户为轴承整机制造企业。据历史公开资料，金帝体系产品"为国内外各大知名轴承公司配套"，并远销美国、日本、韩国、意大利、瑞士及东南亚等国家和地区，客户群体覆盖国际轴承巨头的配套体系与国内主流轴承厂。</w:t>
      </w:r>
    </w:p>
    <w:p>
      <w:pPr>
        <w:spacing w:lineRule="exact" w:line="600" w:before="0" w:after="0"/>
        <w:ind w:firstLine="420"/>
        <w:jc w:val="both"/>
      </w:pPr>
      <w:r>
        <w:rPr>
          <w:rFonts w:ascii="仿宋_GB2312" w:hAnsi="仿宋_GB2312" w:eastAsia="仿宋_GB2312"/>
          <w:b w:val="0"/>
          <w:color w:val="000000"/>
          <w:sz w:val="32"/>
        </w:rPr>
        <w:t>2025年，金帝股份前五大客户合计销售金额6.43亿元，占总销售金额比例31.81%，客户集中度处于中等偏低水平，抗单一客户流失的能力较强。值得关注的是，公司股东名单中包含洛阳新强联回转支承股份有限公司（持股2.91%），该公司为A股上市的风电主轴轴承与回转支承龙头，股权与业务的双重纽带为风电大型保持架业务提供了稳定的订单通道，这也解释了风电系列产品2025年61.02%高增长的产业逻辑。</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保持器生产的主要原材料为冷轧钢带、不锈钢带与黄铜带，均属大宗金属材料，价格随钢材与铜价周期波动。2025年，金帝股份前五名供应商合计采购金额4.74亿元，占年度采购总额比例32.14%，采购集中度与销售集中度基本匹配，供应链谈判地位相对均衡。</w:t>
      </w:r>
    </w:p>
    <w:p>
      <w:pPr>
        <w:spacing w:lineRule="exact" w:line="600" w:before="0" w:after="0"/>
        <w:ind w:firstLine="420"/>
        <w:jc w:val="both"/>
      </w:pPr>
      <w:r>
        <w:rPr>
          <w:rFonts w:ascii="仿宋_GB2312" w:hAnsi="仿宋_GB2312" w:eastAsia="仿宋_GB2312"/>
          <w:b w:val="0"/>
          <w:color w:val="000000"/>
          <w:sz w:val="32"/>
        </w:rPr>
        <w:t>聊城东昌府郑家镇本地钢带开卷、模具加工、热处理、表面处理配套体系完善，采购与外协半径短，在原材料获取与工序外协方面具备明显的集群协同优势。</w:t>
      </w:r>
    </w:p>
    <w:p>
      <w:pPr>
        <w:spacing w:lineRule="exact" w:line="600" w:before="120" w:after="120"/>
        <w:ind w:firstLine="420"/>
        <w:jc w:val="left"/>
      </w:pPr>
      <w:r>
        <w:rPr>
          <w:rFonts w:ascii="楷体_GB2312" w:hAnsi="楷体_GB2312" w:eastAsia="楷体_GB2312"/>
          <w:b w:val="0"/>
          <w:color w:val="000000"/>
          <w:sz w:val="32"/>
        </w:rPr>
        <w:t>（五）产能、资源与资质</w:t>
      </w:r>
    </w:p>
    <w:p>
      <w:pPr>
        <w:spacing w:lineRule="exact" w:line="600" w:before="0" w:after="0"/>
        <w:ind w:firstLine="420"/>
        <w:jc w:val="both"/>
      </w:pPr>
      <w:r>
        <w:rPr>
          <w:rFonts w:ascii="仿宋_GB2312" w:hAnsi="仿宋_GB2312" w:eastAsia="仿宋_GB2312"/>
          <w:b w:val="0"/>
          <w:color w:val="000000"/>
          <w:sz w:val="32"/>
        </w:rPr>
        <w:t>历史资料显示，聊城市金帝保持器厂时期即拥有主要设备536台（套）、自动与半自动生产线18条、年生产能力2.4亿套，精度等级AI级，并配备具有国际水平的高精度电子检测设备，员工总数一千四百余人。整合进上市主体后，产能持续扩张：2025年末金帝股份总资产49.01亿元、同比增长48.76%，员工总数4793人、同比增加37.73%，主要系配置土地、厂房及生产设施等非流动资产、业务规模扩大所致。</w:t>
      </w:r>
    </w:p>
    <w:p>
      <w:pPr>
        <w:spacing w:lineRule="exact" w:line="600" w:before="0" w:after="0"/>
        <w:ind w:firstLine="420"/>
        <w:jc w:val="both"/>
      </w:pPr>
      <w:r>
        <w:rPr>
          <w:rFonts w:ascii="仿宋_GB2312" w:hAnsi="仿宋_GB2312" w:eastAsia="仿宋_GB2312"/>
          <w:b w:val="0"/>
          <w:color w:val="000000"/>
          <w:sz w:val="32"/>
        </w:rPr>
        <w:t>资质方面，金帝体系拥有国家高新技术企业、国家级专精特新"小巨人"企业、国家级制造业单项冠军企业、国家企业技术中心、省级企业技术中心、山东省技术创新示范企业、瞪羚企业等多项认定，并作为起草单位参与GB/T 39273-2020国家标准制定，是国内第一家通过ISO9001国际质量保证体系认证的轴承保持器厂家。</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直销为主，通过技术营销团队直接对接轴承整机厂的采购与技术部门，参与客户新产品同步开发。出口业务通过自营进出口渠道开展，历史上产品已覆盖美国、日本、韩国、意大利、瑞士及东南亚等市场。2025年金帝股份国外销售收入1.68亿元、占比8.31%，海外市场仍有较大拓展空间。</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金帝体系在轴承保持器细分赛道处于国内领先地位，被认定为国家级制造业单项冠军，公开资料称其为"目前国内生产规模最大的轴承保持器专业生产厂家"。2025年保持架及配件收入8.34亿元、同比增长30.81%，在国内保持器细分市场份额领先。公司整体2025年营业收入20.20亿元、三年营业收入复合增长率22.57%，在金属制品行业已披露2025年数据的9家公司中排名第1。</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本报告目标主体"山东金帝保持器科技有限公司"未检索到存续登记，其独立财务数据未公开披露；历史关联主体聊城市新欣金帝保持器科技有限公司已于2021年注销，作为非上市有限责任公司，其存续期间的财务数据亦未公开披露；聊城市金帝保持器厂为私营独资企业，财务数据未公开披露。为提供有价值的参考，下表列示保持器业务现实承载主体金帝股份的公开财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175"/>
          </w:tcPr>
          <w:p>
            <w:pPr>
              <w:spacing w:lineRule="exact" w:line="600"/>
              <w:jc w:val="center"/>
            </w:pPr>
            <w:r/>
            <w:r>
              <w:rPr>
                <w:rFonts w:ascii="黑体" w:hAnsi="黑体" w:eastAsia="黑体"/>
                <w:b/>
                <w:color w:val="000000"/>
                <w:sz w:val="32"/>
              </w:rPr>
              <w:t>项目</w:t>
            </w:r>
          </w:p>
        </w:tc>
        <w:tc>
          <w:tcPr>
            <w:tcW w:type="dxa" w:w="1871"/>
          </w:tcPr>
          <w:p>
            <w:pPr>
              <w:spacing w:lineRule="exact" w:line="600"/>
              <w:jc w:val="center"/>
            </w:pPr>
            <w:r/>
            <w:r>
              <w:rPr>
                <w:rFonts w:ascii="黑体" w:hAnsi="黑体" w:eastAsia="黑体"/>
                <w:b/>
                <w:color w:val="000000"/>
                <w:sz w:val="32"/>
              </w:rPr>
              <w:t>2023年</w:t>
            </w:r>
          </w:p>
        </w:tc>
        <w:tc>
          <w:tcPr>
            <w:tcW w:type="dxa" w:w="1871"/>
          </w:tcPr>
          <w:p>
            <w:pPr>
              <w:spacing w:lineRule="exact" w:line="600"/>
              <w:jc w:val="center"/>
            </w:pPr>
            <w:r/>
            <w:r>
              <w:rPr>
                <w:rFonts w:ascii="黑体" w:hAnsi="黑体" w:eastAsia="黑体"/>
                <w:b/>
                <w:color w:val="000000"/>
                <w:sz w:val="32"/>
              </w:rPr>
              <w:t>2024年</w:t>
            </w:r>
          </w:p>
        </w:tc>
        <w:tc>
          <w:tcPr>
            <w:tcW w:type="dxa" w:w="1871"/>
          </w:tcPr>
          <w:p>
            <w:pPr>
              <w:spacing w:lineRule="exact" w:line="600"/>
              <w:jc w:val="center"/>
            </w:pPr>
            <w:r/>
            <w:r>
              <w:rPr>
                <w:rFonts w:ascii="黑体" w:hAnsi="黑体" w:eastAsia="黑体"/>
                <w:b/>
                <w:color w:val="000000"/>
                <w:sz w:val="32"/>
              </w:rPr>
              <w:t>2025年</w:t>
            </w:r>
          </w:p>
        </w:tc>
      </w:tr>
      <w:tr>
        <w:tc>
          <w:tcPr>
            <w:tcW w:type="dxa" w:w="3175"/>
          </w:tcPr>
          <w:p>
            <w:pPr>
              <w:spacing w:lineRule="exact" w:line="600"/>
              <w:jc w:val="center"/>
            </w:pPr>
            <w:r/>
            <w:r>
              <w:rPr>
                <w:rFonts w:ascii="仿宋_GB2312" w:hAnsi="仿宋_GB2312" w:eastAsia="仿宋_GB2312"/>
                <w:b w:val="0"/>
                <w:color w:val="000000"/>
                <w:sz w:val="32"/>
              </w:rPr>
              <w:t>营业总收入（亿元）</w:t>
            </w:r>
          </w:p>
        </w:tc>
        <w:tc>
          <w:tcPr>
            <w:tcW w:type="dxa" w:w="1871"/>
          </w:tcPr>
          <w:p>
            <w:pPr>
              <w:spacing w:lineRule="exact" w:line="600"/>
              <w:jc w:val="center"/>
            </w:pPr>
            <w:r/>
            <w:r>
              <w:rPr>
                <w:rFonts w:ascii="仿宋_GB2312" w:hAnsi="仿宋_GB2312" w:eastAsia="仿宋_GB2312"/>
                <w:b w:val="0"/>
                <w:color w:val="000000"/>
                <w:sz w:val="32"/>
              </w:rPr>
              <w:t>11.36</w:t>
            </w:r>
          </w:p>
        </w:tc>
        <w:tc>
          <w:tcPr>
            <w:tcW w:type="dxa" w:w="1871"/>
          </w:tcPr>
          <w:p>
            <w:pPr>
              <w:spacing w:lineRule="exact" w:line="600"/>
              <w:jc w:val="center"/>
            </w:pPr>
            <w:r/>
            <w:r>
              <w:rPr>
                <w:rFonts w:ascii="仿宋_GB2312" w:hAnsi="仿宋_GB2312" w:eastAsia="仿宋_GB2312"/>
                <w:b w:val="0"/>
                <w:color w:val="000000"/>
                <w:sz w:val="32"/>
              </w:rPr>
              <w:t>13.55</w:t>
            </w:r>
          </w:p>
        </w:tc>
        <w:tc>
          <w:tcPr>
            <w:tcW w:type="dxa" w:w="1871"/>
          </w:tcPr>
          <w:p>
            <w:pPr>
              <w:spacing w:lineRule="exact" w:line="600"/>
              <w:jc w:val="center"/>
            </w:pPr>
            <w:r/>
            <w:r>
              <w:rPr>
                <w:rFonts w:ascii="仿宋_GB2312" w:hAnsi="仿宋_GB2312" w:eastAsia="仿宋_GB2312"/>
                <w:b w:val="0"/>
                <w:color w:val="000000"/>
                <w:sz w:val="32"/>
              </w:rPr>
              <w:t>20.20</w:t>
            </w:r>
          </w:p>
        </w:tc>
      </w:tr>
      <w:tr>
        <w:tc>
          <w:tcPr>
            <w:tcW w:type="dxa" w:w="3175"/>
          </w:tcPr>
          <w:p>
            <w:pPr>
              <w:spacing w:lineRule="exact" w:line="600"/>
              <w:jc w:val="center"/>
            </w:pPr>
            <w:r/>
            <w:r>
              <w:rPr>
                <w:rFonts w:ascii="仿宋_GB2312" w:hAnsi="仿宋_GB2312" w:eastAsia="仿宋_GB2312"/>
                <w:b w:val="0"/>
                <w:color w:val="000000"/>
                <w:sz w:val="32"/>
              </w:rPr>
              <w:t>其中：保持架及配件（亿元）</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6.38</w:t>
            </w:r>
          </w:p>
        </w:tc>
        <w:tc>
          <w:tcPr>
            <w:tcW w:type="dxa" w:w="1871"/>
          </w:tcPr>
          <w:p>
            <w:pPr>
              <w:spacing w:lineRule="exact" w:line="600"/>
              <w:jc w:val="center"/>
            </w:pPr>
            <w:r/>
            <w:r>
              <w:rPr>
                <w:rFonts w:ascii="仿宋_GB2312" w:hAnsi="仿宋_GB2312" w:eastAsia="仿宋_GB2312"/>
                <w:b w:val="0"/>
                <w:color w:val="000000"/>
                <w:sz w:val="32"/>
              </w:rPr>
              <w:t>8.34</w:t>
            </w:r>
          </w:p>
        </w:tc>
      </w:tr>
      <w:tr>
        <w:tc>
          <w:tcPr>
            <w:tcW w:type="dxa" w:w="3175"/>
          </w:tcPr>
          <w:p>
            <w:pPr>
              <w:spacing w:lineRule="exact" w:line="600"/>
              <w:jc w:val="center"/>
            </w:pPr>
            <w:r/>
            <w:r>
              <w:rPr>
                <w:rFonts w:ascii="仿宋_GB2312" w:hAnsi="仿宋_GB2312" w:eastAsia="仿宋_GB2312"/>
                <w:b w:val="0"/>
                <w:color w:val="000000"/>
                <w:sz w:val="32"/>
              </w:rPr>
              <w:t>归母净利润（亿元）</w:t>
            </w:r>
          </w:p>
        </w:tc>
        <w:tc>
          <w:tcPr>
            <w:tcW w:type="dxa" w:w="1871"/>
          </w:tcPr>
          <w:p>
            <w:pPr>
              <w:spacing w:lineRule="exact" w:line="600"/>
              <w:jc w:val="center"/>
            </w:pPr>
            <w:r/>
            <w:r>
              <w:rPr>
                <w:rFonts w:ascii="仿宋_GB2312" w:hAnsi="仿宋_GB2312" w:eastAsia="仿宋_GB2312"/>
                <w:b w:val="0"/>
                <w:color w:val="000000"/>
                <w:sz w:val="32"/>
              </w:rPr>
              <w:t>1.32</w:t>
            </w:r>
          </w:p>
        </w:tc>
        <w:tc>
          <w:tcPr>
            <w:tcW w:type="dxa" w:w="1871"/>
          </w:tcPr>
          <w:p>
            <w:pPr>
              <w:spacing w:lineRule="exact" w:line="600"/>
              <w:jc w:val="center"/>
            </w:pPr>
            <w:r/>
            <w:r>
              <w:rPr>
                <w:rFonts w:ascii="仿宋_GB2312" w:hAnsi="仿宋_GB2312" w:eastAsia="仿宋_GB2312"/>
                <w:b w:val="0"/>
                <w:color w:val="000000"/>
                <w:sz w:val="32"/>
              </w:rPr>
              <w:t>1.00</w:t>
            </w:r>
          </w:p>
        </w:tc>
        <w:tc>
          <w:tcPr>
            <w:tcW w:type="dxa" w:w="1871"/>
          </w:tcPr>
          <w:p>
            <w:pPr>
              <w:spacing w:lineRule="exact" w:line="600"/>
              <w:jc w:val="center"/>
            </w:pPr>
            <w:r/>
            <w:r>
              <w:rPr>
                <w:rFonts w:ascii="仿宋_GB2312" w:hAnsi="仿宋_GB2312" w:eastAsia="仿宋_GB2312"/>
                <w:b w:val="0"/>
                <w:color w:val="000000"/>
                <w:sz w:val="32"/>
              </w:rPr>
              <w:t>1.47</w:t>
            </w:r>
          </w:p>
        </w:tc>
      </w:tr>
      <w:tr>
        <w:tc>
          <w:tcPr>
            <w:tcW w:type="dxa" w:w="3175"/>
          </w:tcPr>
          <w:p>
            <w:pPr>
              <w:spacing w:lineRule="exact" w:line="600"/>
              <w:jc w:val="center"/>
            </w:pPr>
            <w:r/>
            <w:r>
              <w:rPr>
                <w:rFonts w:ascii="仿宋_GB2312" w:hAnsi="仿宋_GB2312" w:eastAsia="仿宋_GB2312"/>
                <w:b w:val="0"/>
                <w:color w:val="000000"/>
                <w:sz w:val="32"/>
              </w:rPr>
              <w:t>扣非归母净利润（亿元）</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0.84</w:t>
            </w:r>
          </w:p>
        </w:tc>
        <w:tc>
          <w:tcPr>
            <w:tcW w:type="dxa" w:w="1871"/>
          </w:tcPr>
          <w:p>
            <w:pPr>
              <w:spacing w:lineRule="exact" w:line="600"/>
              <w:jc w:val="center"/>
            </w:pPr>
            <w:r/>
            <w:r>
              <w:rPr>
                <w:rFonts w:ascii="仿宋_GB2312" w:hAnsi="仿宋_GB2312" w:eastAsia="仿宋_GB2312"/>
                <w:b w:val="0"/>
                <w:color w:val="000000"/>
                <w:sz w:val="32"/>
              </w:rPr>
              <w:t>1.34</w:t>
            </w:r>
          </w:p>
        </w:tc>
      </w:tr>
      <w:tr>
        <w:tc>
          <w:tcPr>
            <w:tcW w:type="dxa" w:w="3175"/>
          </w:tcPr>
          <w:p>
            <w:pPr>
              <w:spacing w:lineRule="exact" w:line="600"/>
              <w:jc w:val="center"/>
            </w:pPr>
            <w:r/>
            <w:r>
              <w:rPr>
                <w:rFonts w:ascii="仿宋_GB2312" w:hAnsi="仿宋_GB2312" w:eastAsia="仿宋_GB2312"/>
                <w:b w:val="0"/>
                <w:color w:val="000000"/>
                <w:sz w:val="32"/>
              </w:rPr>
              <w:t>销售毛利率（%）</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28.64</w:t>
            </w:r>
          </w:p>
        </w:tc>
        <w:tc>
          <w:tcPr>
            <w:tcW w:type="dxa" w:w="1871"/>
          </w:tcPr>
          <w:p>
            <w:pPr>
              <w:spacing w:lineRule="exact" w:line="600"/>
              <w:jc w:val="center"/>
            </w:pPr>
            <w:r/>
            <w:r>
              <w:rPr>
                <w:rFonts w:ascii="仿宋_GB2312" w:hAnsi="仿宋_GB2312" w:eastAsia="仿宋_GB2312"/>
                <w:b w:val="0"/>
                <w:color w:val="000000"/>
                <w:sz w:val="32"/>
              </w:rPr>
              <w:t>26.03</w:t>
            </w:r>
          </w:p>
        </w:tc>
      </w:tr>
      <w:tr>
        <w:tc>
          <w:tcPr>
            <w:tcW w:type="dxa" w:w="3175"/>
          </w:tcPr>
          <w:p>
            <w:pPr>
              <w:spacing w:lineRule="exact" w:line="600"/>
              <w:jc w:val="center"/>
            </w:pPr>
            <w:r/>
            <w:r>
              <w:rPr>
                <w:rFonts w:ascii="仿宋_GB2312" w:hAnsi="仿宋_GB2312" w:eastAsia="仿宋_GB2312"/>
                <w:b w:val="0"/>
                <w:color w:val="000000"/>
                <w:sz w:val="32"/>
              </w:rPr>
              <w:t>销售净利率（%）</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7.15</w:t>
            </w:r>
          </w:p>
        </w:tc>
        <w:tc>
          <w:tcPr>
            <w:tcW w:type="dxa" w:w="1871"/>
          </w:tcPr>
          <w:p>
            <w:pPr>
              <w:spacing w:lineRule="exact" w:line="600"/>
              <w:jc w:val="center"/>
            </w:pPr>
            <w:r/>
            <w:r>
              <w:rPr>
                <w:rFonts w:ascii="仿宋_GB2312" w:hAnsi="仿宋_GB2312" w:eastAsia="仿宋_GB2312"/>
                <w:b w:val="0"/>
                <w:color w:val="000000"/>
                <w:sz w:val="32"/>
              </w:rPr>
              <w:t>7.17</w:t>
            </w:r>
          </w:p>
        </w:tc>
      </w:tr>
      <w:tr>
        <w:tc>
          <w:tcPr>
            <w:tcW w:type="dxa" w:w="3175"/>
          </w:tcPr>
          <w:p>
            <w:pPr>
              <w:spacing w:lineRule="exact" w:line="600"/>
              <w:jc w:val="center"/>
            </w:pPr>
            <w:r/>
            <w:r>
              <w:rPr>
                <w:rFonts w:ascii="仿宋_GB2312" w:hAnsi="仿宋_GB2312" w:eastAsia="仿宋_GB2312"/>
                <w:b w:val="0"/>
                <w:color w:val="000000"/>
                <w:sz w:val="32"/>
              </w:rPr>
              <w:t>加权平均净资产收益率（%）</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4.64</w:t>
            </w:r>
          </w:p>
        </w:tc>
        <w:tc>
          <w:tcPr>
            <w:tcW w:type="dxa" w:w="1871"/>
          </w:tcPr>
          <w:p>
            <w:pPr>
              <w:spacing w:lineRule="exact" w:line="600"/>
              <w:jc w:val="center"/>
            </w:pPr>
            <w:r/>
            <w:r>
              <w:rPr>
                <w:rFonts w:ascii="仿宋_GB2312" w:hAnsi="仿宋_GB2312" w:eastAsia="仿宋_GB2312"/>
                <w:b w:val="0"/>
                <w:color w:val="000000"/>
                <w:sz w:val="32"/>
              </w:rPr>
              <w:t>6.63</w:t>
            </w:r>
          </w:p>
        </w:tc>
      </w:tr>
      <w:tr>
        <w:tc>
          <w:tcPr>
            <w:tcW w:type="dxa" w:w="3175"/>
          </w:tcPr>
          <w:p>
            <w:pPr>
              <w:spacing w:lineRule="exact" w:line="600"/>
              <w:jc w:val="center"/>
            </w:pPr>
            <w:r/>
            <w:r>
              <w:rPr>
                <w:rFonts w:ascii="仿宋_GB2312" w:hAnsi="仿宋_GB2312" w:eastAsia="仿宋_GB2312"/>
                <w:b w:val="0"/>
                <w:color w:val="000000"/>
                <w:sz w:val="32"/>
              </w:rPr>
              <w:t>经营活动现金流净额（亿元）</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-1.58</w:t>
            </w:r>
          </w:p>
        </w:tc>
        <w:tc>
          <w:tcPr>
            <w:tcW w:type="dxa" w:w="1871"/>
          </w:tcPr>
          <w:p>
            <w:pPr>
              <w:spacing w:lineRule="exact" w:line="600"/>
              <w:jc w:val="center"/>
            </w:pPr>
            <w:r/>
            <w:r>
              <w:rPr>
                <w:rFonts w:ascii="仿宋_GB2312" w:hAnsi="仿宋_GB2312" w:eastAsia="仿宋_GB2312"/>
                <w:b w:val="0"/>
                <w:color w:val="000000"/>
                <w:sz w:val="32"/>
              </w:rPr>
              <w:t>-3.71</w:t>
            </w:r>
          </w:p>
        </w:tc>
      </w:tr>
      <w:tr>
        <w:tc>
          <w:tcPr>
            <w:tcW w:type="dxa" w:w="3175"/>
          </w:tcPr>
          <w:p>
            <w:pPr>
              <w:spacing w:lineRule="exact" w:line="600"/>
              <w:jc w:val="center"/>
            </w:pPr>
            <w:r/>
            <w:r>
              <w:rPr>
                <w:rFonts w:ascii="仿宋_GB2312" w:hAnsi="仿宋_GB2312" w:eastAsia="仿宋_GB2312"/>
                <w:b w:val="0"/>
                <w:color w:val="000000"/>
                <w:sz w:val="32"/>
              </w:rPr>
              <w:t>总资产（亿元）</w:t>
            </w:r>
          </w:p>
        </w:tc>
        <w:tc>
          <w:tcPr>
            <w:tcW w:type="dxa" w:w="1871"/>
          </w:tcPr>
          <w:p>
            <w:pPr>
              <w:spacing w:lineRule="exact" w:line="600"/>
              <w:jc w:val="center"/>
            </w:pPr>
            <w:r/>
            <w:r>
              <w:rPr>
                <w:rFonts w:ascii="仿宋_GB2312" w:hAnsi="仿宋_GB2312" w:eastAsia="仿宋_GB2312"/>
                <w:b w:val="0"/>
                <w:color w:val="000000"/>
                <w:sz w:val="32"/>
              </w:rPr>
              <w:t>—</w:t>
            </w:r>
          </w:p>
        </w:tc>
        <w:tc>
          <w:tcPr>
            <w:tcW w:type="dxa" w:w="1871"/>
          </w:tcPr>
          <w:p>
            <w:pPr>
              <w:spacing w:lineRule="exact" w:line="600"/>
              <w:jc w:val="center"/>
            </w:pPr>
            <w:r/>
            <w:r>
              <w:rPr>
                <w:rFonts w:ascii="仿宋_GB2312" w:hAnsi="仿宋_GB2312" w:eastAsia="仿宋_GB2312"/>
                <w:b w:val="0"/>
                <w:color w:val="000000"/>
                <w:sz w:val="32"/>
              </w:rPr>
              <w:t>32.94</w:t>
            </w:r>
          </w:p>
        </w:tc>
        <w:tc>
          <w:tcPr>
            <w:tcW w:type="dxa" w:w="1871"/>
          </w:tcPr>
          <w:p>
            <w:pPr>
              <w:spacing w:lineRule="exact" w:line="600"/>
              <w:jc w:val="center"/>
            </w:pPr>
            <w:r/>
            <w:r>
              <w:rPr>
                <w:rFonts w:ascii="仿宋_GB2312" w:hAnsi="仿宋_GB2312" w:eastAsia="仿宋_GB2312"/>
                <w:b w:val="0"/>
                <w:color w:val="000000"/>
                <w:sz w:val="32"/>
              </w:rPr>
              <w:t>49.01</w:t>
            </w:r>
          </w:p>
        </w:tc>
      </w:tr>
    </w:tbl>
    <w:p>
      <w:pPr>
        <w:spacing w:lineRule="exact" w:line="600" w:before="0" w:after="0"/>
        <w:jc w:val="left"/>
      </w:pPr>
      <w:r>
        <w:rPr>
          <w:rFonts w:ascii="仿宋_GB2312" w:hAnsi="仿宋_GB2312" w:eastAsia="仿宋_GB2312"/>
          <w:b w:val="0"/>
          <w:color w:val="000000"/>
          <w:sz w:val="28"/>
        </w:rPr>
        <w:t>注：2024年保持架及配件收入系依据2025年该项收入8.34亿元及同比增长30.81%倒算，2024年总资产系依据2025年末总资产49.01亿元及同比增长48.76%倒算，均仅供趋势参考，具体以定期报告披露数据为准。已注销主体及独资企业主体的财务数据未公开披露。</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从保持器业务板块看，2025年该板块收入8.34亿元、同比增长30.81%，增长主要由风电系列产品（3.91亿元，同比增长61.02%）驱动，说明高端化转型对盈利结构的改善正在发生。但从公司整体看，2025年销售毛利率26.03%、同比下降2.61个百分点，第四季度单季毛利率23.36%、同比下降4.29个百分点，呈逐季走低态势；销售净利率7.17%、基本与上年持平。毛利率承压主要源于新能源定转子业务爬坡期成本偏高、汽车产业链年降压力以及产品结构稀释，保持器业务自身在风电高端品类拉动下盈利质量相对更为稳健。</w:t>
      </w:r>
    </w:p>
    <w:p>
      <w:pPr>
        <w:spacing w:lineRule="exact" w:line="600" w:before="120" w:after="120"/>
        <w:ind w:firstLine="420"/>
        <w:jc w:val="left"/>
      </w:pPr>
      <w:r>
        <w:rPr>
          <w:rFonts w:ascii="楷体_GB2312" w:hAnsi="楷体_GB2312" w:eastAsia="楷体_GB2312"/>
          <w:b w:val="0"/>
          <w:color w:val="000000"/>
          <w:sz w:val="32"/>
        </w:rPr>
        <w:t>（三）资产质量分析</w:t>
      </w:r>
    </w:p>
    <w:p>
      <w:pPr>
        <w:spacing w:lineRule="exact" w:line="600" w:before="0" w:after="0"/>
        <w:ind w:firstLine="420"/>
        <w:jc w:val="both"/>
      </w:pPr>
      <w:r>
        <w:rPr>
          <w:rFonts w:ascii="仿宋_GB2312" w:hAnsi="仿宋_GB2312" w:eastAsia="仿宋_GB2312"/>
          <w:b w:val="0"/>
          <w:color w:val="000000"/>
          <w:sz w:val="32"/>
        </w:rPr>
        <w:t>2025年末金帝股份总资产49.01亿元、同比增长48.76%，归母所有者权益22.60亿元、同比增长4.97%，每股净资产10.31元。资产增速远超权益增速，呈现明显的"资产先行、负债支撑"扩张特征，资金主要投向土地、厂房、生产设施等非流动资产，以及随收入放量而增长的应收账款与存货。</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以2025年末总资产49.01亿元与归母权益22.60亿元估算，权益占比约46.1%，资产负债率上限约53.9%（该口径未剔除少数股东权益，实际值应略低于此）。对于上市未满三年、处于产能扩张高峰期的制造企业而言，该杠杆水平尚属可控，但已较上市初期明显抬升。公司正推进可转换公司债券（金帝转债，代码113706）发行事项，若顺利落地将改善资本结构与资金期限匹配。</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2025年经营活动产生的现金流量净额为-3.71亿元，上年同期为-1.58亿元，连续两年大额净流出且规模扩大逾一倍，与1.47亿元的归母净利润形成显著背离。造成"增收增利不增现金"的原因主要为：收入同比增长49.07%带动应收账款与应收票据大幅增加；新品类放量导致原材料备货与在制品、库存商品占用大量营运资金；上游付款条件相对刚性，经营性应付缓冲有限。这一现金流特征意味着保持器及相关业务对营运资金类融资存在真实、持续、规模可观的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横向看，金帝股份三年营业收入复合增长率22.57%，在金属制品行业已披露2025年数据的9家公司中排名第1；三年净利润复合增长率5.15%，排名第4。截至2026年3月30日收盘价计算，市盈率（TTM）约35.95倍，市净率（LF）约2.34倍，市销率（TTM）约2.62倍。成长性行业领先而盈利质量与现金转化相对偏弱，是该主体最鲜明的财务画像。</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历史主体方面，聊城市新欣金帝保持器科技有限公司为有限责任公司（自然人投资或控股），法定代表人郑广申；聊城市金帝保持器厂为私营独资企业，法定代表人郭鑫。两者均为典型的民营家族式治理结构，决策链条短、外部监督有限。</w:t>
      </w:r>
    </w:p>
    <w:p>
      <w:pPr>
        <w:spacing w:lineRule="exact" w:line="600" w:before="0" w:after="0"/>
        <w:ind w:firstLine="420"/>
        <w:jc w:val="both"/>
      </w:pPr>
      <w:r>
        <w:rPr>
          <w:rFonts w:ascii="仿宋_GB2312" w:hAnsi="仿宋_GB2312" w:eastAsia="仿宋_GB2312"/>
          <w:b w:val="0"/>
          <w:color w:val="000000"/>
          <w:sz w:val="32"/>
        </w:rPr>
        <w:t>现实承载主体金帝股份已建立符合上市公司监管要求的治理体系，董事会下设战略、审计、提名、薪酬与考核四个专门委员会，独立董事为王德建、程明、宋军，审计机构为上会会计师事务所（特殊普通合伙），常年法律顾问为北京市中伦律师事务所。公司连续制定并评估"提质增效重回报"行动方案，治理规范化与信息披露主动性较强。</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金帝体系的核心人物为郑广会，现任金帝股份董事长、总经理与法定代表人，个人直接持股2000万股（9.13%），并通过聊城市金帝企业管理咨询有限公司（持股36.51%，郑广会持有其100%股权）、鑫智源、鑫慧源等平台间接控制大部分股权。实际控制人为郑广会、赵秀华夫妇，合计可支配表决权约57%。董事会秘书、副总经理、财务总监由薛泰尧兼任。值得注意的是，历史主体聊城市金帝保持器厂的法定代表人郭鑫，同时是金帝股份员工持股平台鑫智源（持股3.2309%份额）与鑫创源（持股1.7544%份额）的合伙人，印证了各主体之间紧密的人事与利益关联。</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金帝体系是国内第一家通过ISO9001国际质量保证体系认证的轴承保持器厂家，建立了覆盖来料检验、过程控制、成品检测的全流程质量管理机制，并配备国际水平的高精度电子检测设备。作为国家企业技术中心承载单位，公司集保持架设计、试验、检测、分析、研究、鉴定于一体，形成了完整的研发验证闭环。企业信用信息显示金帝股份自身风险信息5条，在同规模上市公司中处于较低水平。</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历史上聊城市金帝保持器厂员工总数一千四百余人，配备企业管理教授1人、工程师及专业管理人员数十人。整合后，2025年末金帝股份员工总数4793人、同比增加37.73%，人均创收42.15万元、同比增长8.24%，人均创利3.07万元、同比增长7.35%，人均薪酬9.51万元、同比下降3.73%。公司通过鑫智源、鑫慧源、鑫创源等多个员工持股平台以及IPO战略配售专项资管计划，将数十名核心骨干纳入股权激励范围，绑定机制扎实、覆盖面较广。</w:t>
      </w:r>
    </w:p>
    <w:p>
      <w:pPr>
        <w:spacing w:lineRule="exact" w:line="600" w:before="120" w:after="120"/>
        <w:ind w:firstLine="420"/>
        <w:jc w:val="left"/>
      </w:pPr>
      <w:r>
        <w:rPr>
          <w:rFonts w:ascii="黑体" w:hAnsi="黑体" w:eastAsia="黑体"/>
          <w:b w:val="0"/>
          <w:color w:val="000000"/>
          <w:sz w:val="32"/>
        </w:rPr>
        <w:t>五、核心竞争力（护城河）分析</w:t>
      </w:r>
    </w:p>
    <w:p>
      <w:pPr>
        <w:spacing w:lineRule="exact" w:line="600" w:before="0" w:after="0"/>
        <w:ind w:firstLine="420"/>
        <w:jc w:val="both"/>
      </w:pPr>
      <w:r>
        <w:rPr>
          <w:rFonts w:ascii="仿宋_GB2312" w:hAnsi="仿宋_GB2312" w:eastAsia="仿宋_GB2312"/>
          <w:b w:val="0"/>
          <w:color w:val="000000"/>
          <w:sz w:val="32"/>
        </w:rPr>
        <w:t>第一，四十年工艺积淀构筑的技术壁垒。自1985年起步，金帝体系在保持器领域积累了2000余种规格的产品数据库、AI级精度控制能力与自主模具设计制造能力，这套工艺know-how无法通过购买设备在短期内复制。</w:t>
      </w:r>
    </w:p>
    <w:p>
      <w:pPr>
        <w:spacing w:lineRule="exact" w:line="600" w:before="0" w:after="0"/>
        <w:ind w:firstLine="420"/>
        <w:jc w:val="both"/>
      </w:pPr>
      <w:r>
        <w:rPr>
          <w:rFonts w:ascii="仿宋_GB2312" w:hAnsi="仿宋_GB2312" w:eastAsia="仿宋_GB2312"/>
          <w:b w:val="0"/>
          <w:color w:val="000000"/>
          <w:sz w:val="32"/>
        </w:rPr>
        <w:t>第二，先发认证与标准话语权。作为国内第一家通过ISO9001认证的保持器厂家，并参与GB/T 39273-2020国家标准起草，叠加国家级制造业单项冠军、国家级专精特新"小巨人"、国家企业技术中心三项国家级认定，在客户准入与政府支持中享有显性溢价。</w:t>
      </w:r>
    </w:p>
    <w:p>
      <w:pPr>
        <w:spacing w:lineRule="exact" w:line="600" w:before="0" w:after="0"/>
        <w:ind w:firstLine="420"/>
        <w:jc w:val="both"/>
      </w:pPr>
      <w:r>
        <w:rPr>
          <w:rFonts w:ascii="仿宋_GB2312" w:hAnsi="仿宋_GB2312" w:eastAsia="仿宋_GB2312"/>
          <w:b w:val="0"/>
          <w:color w:val="000000"/>
          <w:sz w:val="32"/>
        </w:rPr>
        <w:t>第三，规模成本优势。作为国内生产规模最大的保持器专业厂家，在钢带、铜带集中采购中具备议价能力；历史上即拥有年产2.4亿套的产能规模，规模效应显著。</w:t>
      </w:r>
    </w:p>
    <w:p>
      <w:pPr>
        <w:spacing w:lineRule="exact" w:line="600" w:before="0" w:after="0"/>
        <w:ind w:firstLine="420"/>
        <w:jc w:val="both"/>
      </w:pPr>
      <w:r>
        <w:rPr>
          <w:rFonts w:ascii="仿宋_GB2312" w:hAnsi="仿宋_GB2312" w:eastAsia="仿宋_GB2312"/>
          <w:b w:val="0"/>
          <w:color w:val="000000"/>
          <w:sz w:val="32"/>
        </w:rPr>
        <w:t>第四，高端应用场景卡位。风电大型保持架技术门槛高、供应商稀缺，2025年该品类收入3.91亿元、同比增长61.02%，公司已在风电大兆瓦配套中形成实质性竞争地位，成功摆脱通用保持器的低价竞争红海。</w:t>
      </w:r>
    </w:p>
    <w:p>
      <w:pPr>
        <w:spacing w:lineRule="exact" w:line="600" w:before="0" w:after="0"/>
        <w:ind w:firstLine="420"/>
        <w:jc w:val="both"/>
      </w:pPr>
      <w:r>
        <w:rPr>
          <w:rFonts w:ascii="仿宋_GB2312" w:hAnsi="仿宋_GB2312" w:eastAsia="仿宋_GB2312"/>
          <w:b w:val="0"/>
          <w:color w:val="000000"/>
          <w:sz w:val="32"/>
        </w:rPr>
        <w:t>第五，技术可迁移性带来的第二增长曲线。保持器所依托的精密冲压与模具能力成功迁移至新能源汽车电驱动定转子铁芯领域，2025年该品类收入5.25亿元、同比增长231.16%，验证了核心技术平台的延展价值。</w:t>
      </w:r>
    </w:p>
    <w:p>
      <w:pPr>
        <w:spacing w:lineRule="exact" w:line="600" w:before="0" w:after="0"/>
        <w:ind w:firstLine="420"/>
        <w:jc w:val="both"/>
      </w:pPr>
      <w:r>
        <w:rPr>
          <w:rFonts w:ascii="仿宋_GB2312" w:hAnsi="仿宋_GB2312" w:eastAsia="仿宋_GB2312"/>
          <w:b w:val="0"/>
          <w:color w:val="000000"/>
          <w:sz w:val="32"/>
        </w:rPr>
        <w:t>第六，产业集群与股东资源双重加持。聊城东昌府郑家镇完整的保持器产业生态提供了配套便利；股东中既有地方国资背景的金源基金、财信新动能、黄河三角洲产业投资基金，也有风电轴承龙头洛阳新强联，形成"资本+产业"双重资源支撑。</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（一）主体名称与法律适格风险（本报告特别提示）</w:t>
      </w:r>
    </w:p>
    <w:p>
      <w:pPr>
        <w:spacing w:lineRule="exact" w:line="600" w:before="0" w:after="0"/>
        <w:ind w:firstLine="420"/>
        <w:jc w:val="both"/>
      </w:pPr>
      <w:r>
        <w:rPr>
          <w:rFonts w:ascii="仿宋_GB2312" w:hAnsi="仿宋_GB2312" w:eastAsia="仿宋_GB2312"/>
          <w:b w:val="0"/>
          <w:color w:val="000000"/>
          <w:sz w:val="32"/>
        </w:rPr>
        <w:t>这是与本目标企业开展业务时最首要、最现实的风险。经公开渠道检索，"山东金帝保持器科技有限公司"未见存续登记记录；名称最接近的聊城市新欣金帝保持器科技有限公司已于2021年8月17日因决议解散而注销。若在业务办理中误将已注销主体或不存在的主体列为合同当事人，将直接导致合同无效或无法履行，并可能引发资金损失。建议在任何业务环节启动前，必须以国家企业信用信息公示系统查询结果为准，核准交易对手的准确名称、统一社会信用代码、登记状态、法定代表人与有权签署人授权文件。</w:t>
      </w:r>
    </w:p>
    <w:p>
      <w:pPr>
        <w:spacing w:lineRule="exact" w:line="600" w:before="120" w:after="120"/>
        <w:ind w:firstLine="420"/>
        <w:jc w:val="left"/>
      </w:pPr>
      <w:r>
        <w:rPr>
          <w:rFonts w:ascii="楷体_GB2312" w:hAnsi="楷体_GB2312" w:eastAsia="楷体_GB2312"/>
          <w:b w:val="0"/>
          <w:color w:val="000000"/>
          <w:sz w:val="32"/>
        </w:rPr>
        <w:t>（二）行业与市场风险</w:t>
      </w:r>
    </w:p>
    <w:p>
      <w:pPr>
        <w:spacing w:lineRule="exact" w:line="600" w:before="0" w:after="0"/>
        <w:ind w:firstLine="420"/>
        <w:jc w:val="both"/>
      </w:pPr>
      <w:r>
        <w:rPr>
          <w:rFonts w:ascii="仿宋_GB2312" w:hAnsi="仿宋_GB2312" w:eastAsia="仿宋_GB2312"/>
          <w:b w:val="0"/>
          <w:color w:val="000000"/>
          <w:sz w:val="32"/>
        </w:rPr>
        <w:t>轴承保持器行业国内产能过剩、中小企业众多、同质化严重，价格战长期侵蚀行业毛利。高端市场则长期由日本、德国、瑞典等国际轴承巨头的配套体系主导，国产替代虽在推进但认证周期漫长。下游需求方面，风电装机受招标节奏、补贴退坡与整机价格竞争影响波动明显；汽车、机床、家电等传统下游与宏观经济景气度高度相关。</w:t>
      </w:r>
    </w:p>
    <w:p>
      <w:pPr>
        <w:spacing w:lineRule="exact" w:line="600" w:before="120" w:after="120"/>
        <w:ind w:firstLine="420"/>
        <w:jc w:val="left"/>
      </w:pPr>
      <w:r>
        <w:rPr>
          <w:rFonts w:ascii="楷体_GB2312" w:hAnsi="楷体_GB2312" w:eastAsia="楷体_GB2312"/>
          <w:b w:val="0"/>
          <w:color w:val="000000"/>
          <w:sz w:val="32"/>
        </w:rPr>
        <w:t>（三）经营风险</w:t>
      </w:r>
    </w:p>
    <w:p>
      <w:pPr>
        <w:spacing w:lineRule="exact" w:line="600" w:before="0" w:after="0"/>
        <w:ind w:firstLine="420"/>
        <w:jc w:val="both"/>
      </w:pPr>
      <w:r>
        <w:rPr>
          <w:rFonts w:ascii="仿宋_GB2312" w:hAnsi="仿宋_GB2312" w:eastAsia="仿宋_GB2312"/>
          <w:b w:val="0"/>
          <w:color w:val="000000"/>
          <w:sz w:val="32"/>
        </w:rPr>
        <w:t>一是产能消化风险，2025年总资产同比增长48.76%，大量资金沉淀于土地、厂房与设备，若需求不及预期，产能利用率不足将推高单位固定成本。二是原材料价格波动风险，钢带、铜带价格直接影响成本，而企业在大型钢厂面前议价能力有限。三是质量一致性风险，保持器一旦失效将导致整台轴承乃至主机设备损毁，批量质量事故后果严重。</w:t>
      </w:r>
    </w:p>
    <w:p>
      <w:pPr>
        <w:spacing w:lineRule="exact" w:line="600" w:before="120" w:after="120"/>
        <w:ind w:firstLine="420"/>
        <w:jc w:val="left"/>
      </w:pPr>
      <w:r>
        <w:rPr>
          <w:rFonts w:ascii="楷体_GB2312" w:hAnsi="楷体_GB2312" w:eastAsia="楷体_GB2312"/>
          <w:b w:val="0"/>
          <w:color w:val="000000"/>
          <w:sz w:val="32"/>
        </w:rPr>
        <w:t>（四）财务风险</w:t>
      </w:r>
    </w:p>
    <w:p>
      <w:pPr>
        <w:spacing w:lineRule="exact" w:line="600" w:before="0" w:after="0"/>
        <w:ind w:firstLine="420"/>
        <w:jc w:val="both"/>
      </w:pPr>
      <w:r>
        <w:rPr>
          <w:rFonts w:ascii="仿宋_GB2312" w:hAnsi="仿宋_GB2312" w:eastAsia="仿宋_GB2312"/>
          <w:b w:val="0"/>
          <w:color w:val="000000"/>
          <w:sz w:val="32"/>
        </w:rPr>
        <w:t>最突出的是现金流风险：承载主体2024年、2025年经营活动现金流净额分别为-1.58亿元、-3.71亿元，连续两年大额净流出，与净利润严重背离。其次是杠杆上升风险，资产负债率上限已升至约53.9%。第三是毛利率下行风险，2025年同比下降2.61个百分点且逐季走低。第四是历史主体财务信息缺失风险，已注销主体与独资企业主体财务数据未公开披露，无法评估其历史债务清偿情况是否存在遗留问题。</w:t>
      </w:r>
    </w:p>
    <w:p>
      <w:pPr>
        <w:spacing w:lineRule="exact" w:line="600" w:before="120" w:after="120"/>
        <w:ind w:firstLine="420"/>
        <w:jc w:val="left"/>
      </w:pPr>
      <w:r>
        <w:rPr>
          <w:rFonts w:ascii="楷体_GB2312" w:hAnsi="楷体_GB2312" w:eastAsia="楷体_GB2312"/>
          <w:b w:val="0"/>
          <w:color w:val="000000"/>
          <w:sz w:val="32"/>
        </w:rPr>
        <w:t>（五）合规与治理风险</w:t>
      </w:r>
    </w:p>
    <w:p>
      <w:pPr>
        <w:spacing w:lineRule="exact" w:line="600" w:before="0" w:after="0"/>
        <w:ind w:firstLine="420"/>
        <w:jc w:val="both"/>
      </w:pPr>
      <w:r>
        <w:rPr>
          <w:rFonts w:ascii="仿宋_GB2312" w:hAnsi="仿宋_GB2312" w:eastAsia="仿宋_GB2312"/>
          <w:b w:val="0"/>
          <w:color w:val="000000"/>
          <w:sz w:val="32"/>
        </w:rPr>
        <w:t>实际控制人郑广会、赵秀华夫妇合计控制表决权约57%，且郑广会同时担任董事长、总经理与法定代表人，"一股独大+两职合一"结构对中小股东权益保护构成潜在挑战。集团成员企业约15家，历史上存在多个同名同源的经营主体，关联交易的公允性、同业竞争的彻底清理以及关联方资金往来的规范性需持续关注。此外，2023年9月上市首日的战略配售融券事件虽经中国证监会核查未认定违规，但暴露出资本运作舆情管理经验的不足。</w:t>
      </w:r>
    </w:p>
    <w:p>
      <w:pPr>
        <w:spacing w:lineRule="exact" w:line="600" w:before="120" w:after="120"/>
        <w:ind w:firstLine="420"/>
        <w:jc w:val="left"/>
      </w:pPr>
      <w:r>
        <w:rPr>
          <w:rFonts w:ascii="楷体_GB2312" w:hAnsi="楷体_GB2312" w:eastAsia="楷体_GB2312"/>
          <w:b w:val="0"/>
          <w:color w:val="000000"/>
          <w:sz w:val="32"/>
        </w:rPr>
        <w:t>（六）公司现有应对措施</w:t>
      </w:r>
    </w:p>
    <w:p>
      <w:pPr>
        <w:spacing w:lineRule="exact" w:line="600" w:before="0" w:after="0"/>
        <w:ind w:firstLine="420"/>
        <w:jc w:val="both"/>
      </w:pPr>
      <w:r>
        <w:rPr>
          <w:rFonts w:ascii="仿宋_GB2312" w:hAnsi="仿宋_GB2312" w:eastAsia="仿宋_GB2312"/>
          <w:b w:val="0"/>
          <w:color w:val="000000"/>
          <w:sz w:val="32"/>
        </w:rPr>
        <w:t>针对上述风险，金帝体系已采取的措施包括：通过2021年注销新欣金帝保持器科技有限公司等历史主体，完成申报上市前的关联主体清理与同业竞争消除，将保持器业务集中于规范的上市公司平台；坚定推行"保持架+精密零部件"双轮驱动战略，以两大板块相互对冲；大力发展风电大型保持架等高端品类，摆脱通用产品价格竞争；依托国家企业技术中心持续攻关材料与工艺，以良率提升消化降价压力；推进可转债发行补充中长期资金；通过多层次员工持股平台绑定核心团队。</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需求判断须分两个层面。第一层面是主体确认：在"山东金帝保持器科技有限公司"未能核实为存续市场主体的情况下，不具备直接开展任何授信业务的条件，一切合作必须以核准后的真实存续主体为前提。第二层面是业务实质：若合作对象最终确认为金帝股份或其保持器业务相关的存续子公司，则其融资需求真实、持续且规模可观——2024年、2025年经营活动现金流分别净流出1.58亿元、3.71亿元，总资产一年增长48.76%，既有营运资金缺口也有中长期设备资金需求，是产业金融机构的优质目标客户。</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保持器业务的客户为国内外知名轴承整机企业，付款主体资信优良、应收账款质量高。2025年公司前五大客户销售额6.43亿元、占比31.81%，仅头部客户即可支撑数亿元级别的保理业务空间。鉴于公司经营现金流连续为负、回款滞后于确收，应收账款保理是解决其核心痛点的刚需产品，合作意愿预计较强。</w:t>
      </w:r>
    </w:p>
    <w:p>
      <w:pPr>
        <w:spacing w:lineRule="exact" w:line="600" w:before="0" w:after="0"/>
        <w:ind w:firstLine="420"/>
        <w:jc w:val="both"/>
      </w:pPr>
      <w:r>
        <w:rPr>
          <w:rFonts w:ascii="仿宋_GB2312" w:hAnsi="仿宋_GB2312" w:eastAsia="仿宋_GB2312"/>
          <w:b w:val="0"/>
          <w:color w:val="000000"/>
          <w:sz w:val="32"/>
        </w:rPr>
        <w:t>操作上建议优先选择确权清晰、合作年限较长的核心轴承厂客户，开展有追索权保理，首期额度以上年度对该客户结算额的三至五成为宜；要求提供近三年销售台账、增值税发票、出库单与对账单，建立"合同—发票—物流—回款"四流合一验证机制。对风电领域客户（尤其是与股东洛阳新强联相关的交易），还应特别核查关联交易定价的公允性，防范通过关联方虚构应收账款套取融资。</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金帝股份是聊城东昌府保持器集群当之无愧的核心企业，其上游聚集了大量钢带经销商、模具厂、热处理与表面处理配套企业，以及本地的中小冲压加工户，这些主体普遍存在账期压力与融资难问题。</w:t>
      </w:r>
    </w:p>
    <w:p>
      <w:pPr>
        <w:spacing w:lineRule="exact" w:line="600" w:before="0" w:after="0"/>
        <w:ind w:firstLine="420"/>
        <w:jc w:val="both"/>
      </w:pPr>
      <w:r>
        <w:rPr>
          <w:rFonts w:ascii="仿宋_GB2312" w:hAnsi="仿宋_GB2312" w:eastAsia="仿宋_GB2312"/>
          <w:b w:val="0"/>
          <w:color w:val="000000"/>
          <w:sz w:val="32"/>
        </w:rPr>
        <w:t>建议以金帝股份的上市公司信用为锚，搭建"1+N"供应链金融方案：开展反向保理、电子债权凭证多级流转与订单融资，使核心企业信用穿透至多级供应商；同时可与郑家镇工业区管委会、当地行业协会合作，以集群整体授信方式降低单户尽调成本，实现"一点接入、批量获客"。这是在保持器集群中规模化拓展业务的最优路径。</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保持器与精密冲压行业是典型的设备密集型制造业。历史上聊城市金帝保持器厂即拥有主要设备536台（套）、自动与半自动生产线18条；当前金帝股份正大规模配置精密冲压机、多工位级进模、热处理生产线与自动化检测设备，2025年总资产增长48.76%主要即源于此。</w:t>
      </w:r>
    </w:p>
    <w:p>
      <w:pPr>
        <w:spacing w:lineRule="exact" w:line="600" w:before="0" w:after="0"/>
        <w:ind w:firstLine="420"/>
        <w:jc w:val="both"/>
      </w:pPr>
      <w:r>
        <w:rPr>
          <w:rFonts w:ascii="仿宋_GB2312" w:hAnsi="仿宋_GB2312" w:eastAsia="仿宋_GB2312"/>
          <w:b w:val="0"/>
          <w:color w:val="000000"/>
          <w:sz w:val="32"/>
        </w:rPr>
        <w:t>这些设备标准化程度高、二手流通市场成熟，是理想的租赁标的。尤其建议重点推介售后回租方案：将已投产的存量优质设备盘活为现金，直接缓解经营活动现金流压力，租金支出可在税前列支，对处于扩张期且现金流连续为负的企业具有很强的现实吸引力。租期建议三至五年，首付比例与保证金依资信分档设定。</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对上市主体本部额度偏小、适配性有限，但对集群内的中小配套企业（包括类似聊城市金帝保持器厂这样的独资加工主体）是最匹配的产品。建议围绕金帝股份的本地配套网络，以"核心企业推荐名单+订单与回款验证+纳税用电数据"构建准入模型，单户额度控制在百万元至千万元区间，期限六个月至一年，采用"信用+保证+订单质押"组合增信，实现批量获客与风险分层定价。</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建议聚焦六点：一是主体核验优先，所有业务须以国家企业信用信息公示系统查询确认的存续主体为交易对手，这是本项目最重要的风控前置条件；二是紧盯经营活动现金流，将连续为负的季度数设为预警触发条件；三是核查应收账款账龄结构与关联交易占比，对超账龄款项设置回购或追加保证金条款；四是跟踪可转债发行进展与银行授信使用情况，防范多头授信导致整体杠杆失控；五是关注实际控制人股权质押比例与集团内15家成员企业的资金往来，防范资金占用；六是关注历史注销主体是否存在未了结的债权债务或诉讼。</w:t>
      </w:r>
    </w:p>
    <w:p>
      <w:pPr>
        <w:spacing w:lineRule="exact" w:line="600" w:before="0" w:after="0"/>
        <w:ind w:firstLine="420"/>
        <w:jc w:val="both"/>
      </w:pPr>
      <w:r>
        <w:rPr>
          <w:rFonts w:ascii="仿宋_GB2312" w:hAnsi="仿宋_GB2312" w:eastAsia="仿宋_GB2312"/>
          <w:b w:val="0"/>
          <w:color w:val="000000"/>
          <w:sz w:val="32"/>
        </w:rPr>
        <w:t>总体而言，聊城金帝体系产业地位稳固、技术护城河深厚、成长性行业领先，是山东投资在基础零部件领域值得重点合作的优质产业平台。建议在完成主体核验的前提下，优先通过应收账款保理与设备售后回租两类产品建立合作，并以其为核心企业向集群内中小配套企业批量延伸供应链金融与小额贷款业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本报告的目标企业"山东金帝保持器科技有限公司"在公开工商登记体系中未见存续记录，这一核验结论本身即是本报告最重要的产出之一。透过名称表象，其所指向的聊城"金帝"保持器业务体系，是中国轴承保持器行业当之无愧的领军力量：自1985年金帝精工制造有限公司创立，历经聊城市金帝保持器厂、聊城市新欣金帝保持器科技有限公司等主体演进，最终整合为2016年设立、2023年上市的山东金帝精密机械科技股份有限公司，完成了从乡镇作坊到A股主板上市公司、从通用保持器到风电高端保持架与新能源定转子铁芯的四十年双重跨越。</w:t>
      </w:r>
    </w:p>
    <w:p>
      <w:pPr>
        <w:spacing w:lineRule="exact" w:line="600" w:before="0" w:after="0"/>
        <w:ind w:firstLine="420"/>
        <w:jc w:val="both"/>
      </w:pPr>
      <w:r>
        <w:rPr>
          <w:rFonts w:ascii="仿宋_GB2312" w:hAnsi="仿宋_GB2312" w:eastAsia="仿宋_GB2312"/>
          <w:b w:val="0"/>
          <w:color w:val="000000"/>
          <w:sz w:val="32"/>
        </w:rPr>
        <w:t>该体系的优势极为突出：国内生产规模最大的保持器专业厂家、国家级制造业单项冠军、国内首家通过ISO9001认证的保持器企业、国家企业技术中心、国家标准起草单位，2025年保持架及配件收入8.34亿元、同比增长30.81%，其中风电系列3.91亿元、同比增长61.02%。其风险则集中于财务层面：经营活动现金流连续两年大额净流出、毛利率逐季走低、杠杆水平快速抬升，以及本报告特别提示的主体名称核验问题。</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公司公开披露的战略规划与行业趋势判断，保持器业务未来将沿三条路径演进：一是持续向风电大兆瓦、新能源汽车轮毂轴承、高速精密机床主轴轴承等高端应用场景升级，以结构优化对冲通用产品的价格竞争；二是依托精密冲压技术平台向氢能源双极板、电力设备结构件、医疗器械精密件等新领域横向拓展；三是深化全球产业布局，提升目前不足一成的海外收入占比，对冲国内单一市场波动。</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其一，如何在保持器行业普遍低价内卷的环境中守住高端定位与合理毛利；其二，如何扭转经营活动现金流连续为负的局面，在增长与现金安全之间取得平衡；其三，如何在员工规模一年扩张37.73%、多品类多基地并行的背景下，完成从"能人治理"到"体系治理"的组织能力升级；其四，如何进一步理顺集团内15家成员企业的业务边界与关联交易，避免历史上多主体并存所遗留的治理隐患。</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聊城金帝保持器业务体系产业地位领先、技术积淀深厚、高端转型成效显著，是山东省基础零部件产业的标杆，具备与山东投资长期合作的良好产业基础；但本报告目标企业名称未能核实为存续主体，这构成开展业务的首要障碍。</w:t>
      </w:r>
    </w:p>
    <w:p>
      <w:pPr>
        <w:spacing w:lineRule="exact" w:line="600" w:before="0" w:after="0"/>
        <w:ind w:firstLine="420"/>
        <w:jc w:val="both"/>
      </w:pPr>
      <w:r>
        <w:rPr>
          <w:rFonts w:ascii="仿宋_GB2312" w:hAnsi="仿宋_GB2312" w:eastAsia="仿宋_GB2312"/>
          <w:b w:val="0"/>
          <w:color w:val="000000"/>
          <w:sz w:val="32"/>
        </w:rPr>
        <w:t>建议：一是立即开展主体核验工作，通过国家企业信用信息公示系统与集群主管部门核实"山东金帝保持器科技有限公司"的准确对应主体，必要时直接以山东金帝精密机械科技股份有限公司（91371500MA3CJ2B45B）为合作对象；二是核验完成后，优先以应收账款保理与设备售后回租两个最贴合痛点的产品切入，力争成为其非银融资渠道的主要合作方；三是以核心企业为支点，向聊城东昌府郑家镇集群内的中小配套企业批量延伸供应链金融与小额贷款；四是建立以季度定期报告为节点的动态跟踪机制，重点监控经营活动现金流、毛利率、应收账款账龄与资产负债率四项指标；五是持续关注可转债发行进展，发行成功后可相应提升授信额度。</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天眼查工商登记信息：聊城市新欣金帝保持器科技有限公司（统一社会信用代码91371500663544674C，成立2007-06-26，注销2021-08-17）。</w:t>
        <w:br/>
        <w:t>2. 聊城市金帝保持器厂企业公开资料（企业黄页公示的公司介绍、注册信息与产品目录）。</w:t>
        <w:br/>
        <w:t>3. 天眼查、企查查、爱企查关于山东金帝精密机械科技股份有限公司（91371500MA3CJ2B45B）的工商登记与股权穿透信息。</w:t>
        <w:br/>
        <w:t>4. 上海证券交易所上市公司信息公开页面（金帝股份603270公司概况、股本结构、前十大股东、筹资情况、利润分配）。</w:t>
        <w:br/>
        <w:t>5. 金帝股份2025年年度报告及《2025年度业绩快报公告》（公告编号2026-028）、《2025年度"提质增效重回报"行动方案评估报告暨2026年度行动方案》（公告编号2026-040）。</w:t>
        <w:br/>
        <w:t>6. 中国证券报·中证网《金帝股份：2025年净利润同比增长47.86% 拟10派1.2元》（2026年3月31日）；证券时报相关报道（2026年3月30日）。</w:t>
        <w:br/>
        <w:t>7. 中国证监会有关部门负责人就金帝股份上市首日战略投资者出借证券有关事宜答记者问（2023年9月19日）。</w:t>
        <w:br/>
        <w:t>8. 全国标准信息公共服务平台 GB/T 39273-2020标准起草单位信息。</w:t>
        <w:br/>
        <w:t>特别说明：本报告目标名称"山东金帝保持器科技有限公司"未在公开工商登记渠道检索到存续主体；已注销主体聊城市新欣金帝保持器科技有限公司与私营独资主体聊城市金帝保持器厂的财务数据均未公开披露，本报告未作任何估算或推断。</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