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山东聊城东昌府（基础零部件—保持器）特色产业集群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山东金帝精密机械科技股份有限公司企业分析报告</w:t>
      </w:r>
    </w:p>
    <w:p>
      <w:pPr>
        <w:spacing w:lineRule="exact" w:line="600" w:before="0" w:after="0"/>
        <w:jc w:val="left"/>
      </w:pPr>
      <w:r>
        <w:rPr>
          <w:rFonts w:ascii="仿宋_GB2312" w:hAnsi="仿宋_GB2312" w:eastAsia="仿宋_GB2312"/>
          <w:b w:val="0"/>
          <w:color w:val="000000"/>
          <w:sz w:val="28"/>
        </w:rPr>
        <w:t>（本报告数据来源于上海证券交易所公开信息、公司2025年年度报告及业绩快报公告、中国证券报·中证网、证券时报、中国经济网、天眼查/企查查工商登记信息、公司官网等公开渠道，统计时点截至2026年8月最新披露信息。文中财务数据除特别说明外，均为公司合并报表口径。）</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金帝精密机械科技股份有限公司（证券简称"金帝股份"，证券代码603270.SH，以下简称"公司"或"金帝股份"），统一社会信用代码91371500MA3CJ2B45B，注册地址与办公地址均为山东省聊城市东昌府区郑家镇工业区66号（一照多址），邮政编码252035，法定代表人郑广会，登记机关为聊城市市场监督管理局，企业类型为其他股份有限公司（上市），登记状态存续。</w:t>
      </w:r>
    </w:p>
    <w:p>
      <w:pPr>
        <w:spacing w:lineRule="exact" w:line="600" w:before="0" w:after="0"/>
        <w:ind w:firstLine="420"/>
        <w:jc w:val="both"/>
      </w:pPr>
      <w:r>
        <w:rPr>
          <w:rFonts w:ascii="仿宋_GB2312" w:hAnsi="仿宋_GB2312" w:eastAsia="仿宋_GB2312"/>
          <w:b w:val="0"/>
          <w:color w:val="000000"/>
          <w:sz w:val="32"/>
        </w:rPr>
        <w:t>公司现有注册资本21910.6667万元人民币，实缴资本21910.6667万元，对应总股本21910.67万股。股份公司主体设立时间为2016年10月9日，系由郑广会与聊城市金帝企业管理咨询有限公司（以下简称"金帝咨询"）共同发起设立，设立时注册资本10000万元，其中金帝咨询出资8000万元、郑广会出资2000万元；2016年9月25日召开创立大会暨第一次股东大会，同年10月9日取得营业执照。公司经营范围包括轴承配件、汽车零部件生产与销售，医疗器械生产与销售，软件开发与销售，企业管理咨询服务，以及自营和代理各类商品和技术的进出口业务。按国民经济行业分类，公司归属于制造业—通用设备制造业—轴承、齿轮和传动部件制造—滚动轴承制造。</w:t>
      </w:r>
    </w:p>
    <w:p>
      <w:pPr>
        <w:spacing w:lineRule="exact" w:line="600" w:before="0" w:after="0"/>
        <w:ind w:firstLine="420"/>
        <w:jc w:val="both"/>
      </w:pPr>
      <w:r>
        <w:rPr>
          <w:rFonts w:ascii="仿宋_GB2312" w:hAnsi="仿宋_GB2312" w:eastAsia="仿宋_GB2312"/>
          <w:b w:val="0"/>
          <w:color w:val="000000"/>
          <w:sz w:val="32"/>
        </w:rPr>
        <w:t>公司于2023年8月23日完成首次公开发行，发行股份数量5477.6667万股，发行价格21.77元/股，发行市盈率41.68倍，募集资金总额119248.80万元，扣除发行费用后募集资金净额109070.48万元，保荐人（主承销商）为国信证券股份有限公司。2023年9月1日，公司股票在上海证券交易所主板挂牌上市。上市首日开盘价39.90元，盘中最高61.00元，收盘48.27元，较发行价上涨121.73%。截至2026年8月，公司境内上市股票合计21910.67万股，其中有限售流通股14839.00万股。</w:t>
      </w:r>
    </w:p>
    <w:p>
      <w:pPr>
        <w:spacing w:lineRule="exact" w:line="600" w:before="0" w:after="0"/>
        <w:ind w:firstLine="420"/>
        <w:jc w:val="both"/>
      </w:pPr>
      <w:r>
        <w:rPr>
          <w:rFonts w:ascii="仿宋_GB2312" w:hAnsi="仿宋_GB2312" w:eastAsia="仿宋_GB2312"/>
          <w:b w:val="0"/>
          <w:color w:val="000000"/>
          <w:sz w:val="32"/>
        </w:rPr>
        <w:t>股权结构方面，根据2026年一季度披露数据，公司前十大股东合计持股72.35%，具体为：聊城市金帝企业管理咨询有限公司持股8000万股、占比36.51%，为控股股东；聊城市金源新旧动能转换股权投资基金合伙企业（有限合伙）持股3300万股、占比15.06%；郑广会个人直接持股2000万股、占比9.13%；聊城市鑫智源创业投资中心合伙企业（有限合伙）持股1269万股、占比5.79%；洛阳新强联回转支承股份有限公司持股637.88万股、占比2.91%；聊城市鑫慧源创业投资中心合伙企业（有限合伙）持股270万股、占比1.23%；宁波澳源股权投资有限公司持股151万股、占比0.69%；其余为香港中央结算有限公司、国泰海通证券股份有限公司及国信证券资管设立的员工战略配售资管计划等。截至2026年7月底，公司股东人数约1.97万户，流通股本7071.67万股。</w:t>
      </w:r>
    </w:p>
    <w:p>
      <w:pPr>
        <w:spacing w:lineRule="exact" w:line="600" w:before="0" w:after="0"/>
        <w:ind w:firstLine="420"/>
        <w:jc w:val="both"/>
      </w:pPr>
      <w:r>
        <w:rPr>
          <w:rFonts w:ascii="仿宋_GB2312" w:hAnsi="仿宋_GB2312" w:eastAsia="仿宋_GB2312"/>
          <w:b w:val="0"/>
          <w:color w:val="000000"/>
          <w:sz w:val="32"/>
        </w:rPr>
        <w:t>穿透来看，控股股东金帝咨询由郑广会持股100%；第二大股东金源基金由金帝咨询持股79%、聊城市财信新动能基金管理有限公司持股20%、黄河三角洲产业投资基金管理有限公司持股1%，带有地方国资引导基金色彩；鑫智源、鑫慧源、鑫创源三家合伙企业为公司核心员工与管理层持股平台，其中鑫智源由郑广会持有43.50%份额，鑫慧源由赵秀华持有90%、郑广会持有10%。公司实际控制人为郑广会、赵秀华夫妇，合计可支配表决权比例约57%，控制权结构稳定、清晰。值得注意的是，股东名单中的洛阳新强联回转支承股份有限公司为A股上市的风电主轴轴承龙头，其入股在股权层面强化了公司与风电轴承产业链的绑定关系。</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采用"股东大会—董事会—监事会—经理层"的现代企业治理架构，董事会下设战略、审计、提名、薪酬与考核四个专门委员会。经营层面按业务属性划分为轴承保持架事业板块与精密零部件事业板块，形成"双轮驱动"的组织形态，并配套设置研发中心（国家企业技术中心）、模具中心、质量管理中心、供应链管理中心与营销中心等职能单元。据企业信用信息显示，公司为"金帝股份"企业集团核心成员，集团内关联成员企业约15家，公司本部对外投资4家。</w:t>
      </w:r>
    </w:p>
    <w:p>
      <w:pPr>
        <w:spacing w:lineRule="exact" w:line="600" w:before="0" w:after="0"/>
        <w:ind w:firstLine="420"/>
        <w:jc w:val="both"/>
      </w:pPr>
      <w:r>
        <w:rPr>
          <w:rFonts w:ascii="仿宋_GB2312" w:hAnsi="仿宋_GB2312" w:eastAsia="仿宋_GB2312"/>
          <w:b w:val="0"/>
          <w:color w:val="000000"/>
          <w:sz w:val="32"/>
        </w:rPr>
        <w:t>在生产基地布局上，公司以聊城市东昌府区郑家镇工业区为总部与主生产基地，围绕募投项目与新增产能需求，持续配置土地、厂房及生产设施等非流动资产，并结合下游客户属地化配套要求推进产能的多点布局与全球化延伸。2025年末公司总资产较上年增长48.76%，主要即源于中长期战略布局带来的非流动资产扩张与业务规模扩大。</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业务源流可追溯至1985年，前身为聊城当地从事轴承保持器生产的金帝精工制造有限公司，2005年更名为聊城市金帝保持器厂，是国内第一家通过ISO9001国际质量保证体系认证的轴承保持器专业厂家。经过长期积累，金帝体系在深沟球轴承保持器、圆锥滚子轴承保持架、调心滚子轴承保持架等品类形成规模优势，产品远销美国、日本、韩国、意大利、瑞士及东南亚等国家和地区。</w:t>
      </w:r>
    </w:p>
    <w:p>
      <w:pPr>
        <w:spacing w:lineRule="exact" w:line="600" w:before="0" w:after="0"/>
        <w:ind w:firstLine="420"/>
        <w:jc w:val="both"/>
      </w:pPr>
      <w:r>
        <w:rPr>
          <w:rFonts w:ascii="仿宋_GB2312" w:hAnsi="仿宋_GB2312" w:eastAsia="仿宋_GB2312"/>
          <w:b w:val="0"/>
          <w:color w:val="000000"/>
          <w:sz w:val="32"/>
        </w:rPr>
        <w:t>2016年10月，公司完成股份制改造，设立山东金帝精密机械科技股份有限公司，实现资产、业务、人员、财务、机构的规范化整合，为资本市场对接奠定基础。此后公司相继取得国家高新技术企业、国家企业技术中心、国家级专精特新"小巨人"企业、国家级制造业单项冠军、山东省技术创新示范企业、瞪羚企业等资质认定，并作为起草单位参与GB/T 39273-2020《滚动轴承和关节轴承 电子媒体查询结构 用特性词汇标识的特征和性能指标》国家标准制定。</w:t>
      </w:r>
    </w:p>
    <w:p>
      <w:pPr>
        <w:spacing w:lineRule="exact" w:line="600" w:before="0" w:after="0"/>
        <w:ind w:firstLine="420"/>
        <w:jc w:val="both"/>
      </w:pPr>
      <w:r>
        <w:rPr>
          <w:rFonts w:ascii="仿宋_GB2312" w:hAnsi="仿宋_GB2312" w:eastAsia="仿宋_GB2312"/>
          <w:b w:val="0"/>
          <w:color w:val="000000"/>
          <w:sz w:val="32"/>
        </w:rPr>
        <w:t>2023年8月至9月，公司完成IPO并在上交所主板上市，募集资金净额10.91亿元，主要投向精密零部件与高端保持架产能扩建及研发能力建设。上市后公司加速推进"双轮驱动"战略，在稳固保持架基本盘的同时大举切入新能源汽车电驱动系统定转子铁芯赛道。2025年，新能源电驱动定转子系列产品收入同比激增231.16%，成为公司业绩增长的第一引擎。2026年3月，公司披露向不特定对象发行可转换公司债券申请文件审核问询函回复及申请文件更新的提示性公告，持续推进直接融资工具的运用（可转债简称"金帝转债"，代码113706）。</w:t>
      </w:r>
    </w:p>
    <w:p>
      <w:pPr>
        <w:spacing w:lineRule="exact" w:line="600" w:before="0" w:after="0"/>
        <w:ind w:firstLine="420"/>
        <w:jc w:val="both"/>
      </w:pPr>
      <w:r>
        <w:rPr>
          <w:rFonts w:ascii="仿宋_GB2312" w:hAnsi="仿宋_GB2312" w:eastAsia="仿宋_GB2312"/>
          <w:b w:val="0"/>
          <w:color w:val="000000"/>
          <w:sz w:val="32"/>
        </w:rPr>
        <w:t>需要客观记录的是，2023年9月1日公司上市首日曾发生市场高度关注的融券事件：公司高管与核心员工参与IPO战略配售设立的资产管理计划（战略配售数量470.0871万股，限售期12个月），在上市首日通过转融通业务将股票出借给证券金融公司，当日公司融券卖出量458.3227万股、融券卖出额2.06亿元，引发关于"是否变相减持、做空自己"的争议。2023年9月19日，中国证监会有关部门负责人就此答记者问，明确经核查上述融券业务符合当时监管规定，未发现相关主体绕道减持、合谋进行利益输送等问题，同时表示将对相关规则进一步论证评估。该事件虽未认定公司及相关主体存在违规，但客观上对公司市场形象与投资者关系管理形成了一次压力测试。</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以精密冲压技术为根基的高端精密零部件平台型制造企业"，秉持"品质为金、顾客是帝"的核心经营理念，以"立足中国，面向世界，精工制造"为使命，目标是立足保持器与冲压件两大技术底座，向氢能源、电力、医疗、新能源等领域延伸，打造全球零部件智造示范基地。</w:t>
      </w:r>
    </w:p>
    <w:p>
      <w:pPr>
        <w:spacing w:lineRule="exact" w:line="600" w:before="0" w:after="0"/>
        <w:ind w:firstLine="420"/>
        <w:jc w:val="both"/>
      </w:pPr>
      <w:r>
        <w:rPr>
          <w:rFonts w:ascii="仿宋_GB2312" w:hAnsi="仿宋_GB2312" w:eastAsia="仿宋_GB2312"/>
          <w:b w:val="0"/>
          <w:color w:val="000000"/>
          <w:sz w:val="32"/>
        </w:rPr>
        <w:t>主营业务为轴承保持架与精密零部件的研发、生产和销售。核心产品分为两大类：一是轴承保持架及配件，涵盖深沟球轴承保持架、圆锥滚子轴承保持架、调心滚子轴承保持架、风电专用大型保持架等，产品精度等级达AI级，型号规格逾两千种；二是精密零部件，以新能源汽车电驱动系统定转子铁芯为代表，兼及汽车核心冲焊件与结构件。产品广泛应用于轨道交通、汽车、数控机床、风力发电、工程机械、新能源汽车、家用电器等高端装备领域。</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2025年，公司实现营业总收入20.20亿元，其中制造业收入18.41亿元、占比91.13%，其他业务收入1.79亿元、占比8.87%。按产品结构划分，精密零部件收入10.07亿元、占营业收入的49.85%，同比增长69.32%；轴承保持架及配件等收入8.34亿元、占41.28%，同比增长30.81%。这是公司上市以来精密零部件收入首次超过传统保持架业务，标志着"双轮驱动"战略从提出走向兑现，公司业务结构由单一基础件供应商向"基础件+新能源核心部件"复合型供应商切换。</w:t>
      </w:r>
    </w:p>
    <w:p>
      <w:pPr>
        <w:spacing w:lineRule="exact" w:line="600" w:before="0" w:after="0"/>
        <w:ind w:firstLine="420"/>
        <w:jc w:val="both"/>
      </w:pPr>
      <w:r>
        <w:rPr>
          <w:rFonts w:ascii="仿宋_GB2312" w:hAnsi="仿宋_GB2312" w:eastAsia="仿宋_GB2312"/>
          <w:b w:val="0"/>
          <w:color w:val="000000"/>
          <w:sz w:val="32"/>
        </w:rPr>
        <w:t>在两大板块内部，结构升级同样显著。保持架板块中，风电领域系列产品2025年实现收入3.91亿元，同比增长61.02%，占保持架板块收入的比重接近半数，公司在风电大兆瓦机型配套的大型保持架领域已形成实质性竞争地位；精密零部件板块中，新能源电驱动定转子系列产品实现收入5.25亿元，同比增长231.16%，是全公司增速最快、弹性最大的品类。两条高增长曲线共同推动公司2025年营业收入同比增长49.07%。</w:t>
      </w:r>
    </w:p>
    <w:p>
      <w:pPr>
        <w:spacing w:lineRule="exact" w:line="600" w:before="0" w:after="0"/>
        <w:ind w:firstLine="420"/>
        <w:jc w:val="both"/>
      </w:pPr>
      <w:r>
        <w:rPr>
          <w:rFonts w:ascii="仿宋_GB2312" w:hAnsi="仿宋_GB2312" w:eastAsia="仿宋_GB2312"/>
          <w:b w:val="0"/>
          <w:color w:val="000000"/>
          <w:sz w:val="32"/>
        </w:rPr>
        <w:t>按销售地区划分，2025年国内销售收入16.73亿元、占比82.82%，国外销售收入1.68亿元、占比8.31%，其他收入1.79亿元、占比8.87%。公司收入以国内市场为主，海外收入占比不足一成，一方面说明公司充分受益于国内新能源汽车与风电的高景气，另一方面也表明其全球化配套仍有较大提升空间，深化全球产业布局是公司既定战略方向之一。</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轴承保持架产品线是公司立身之本。保持架的功能是均匀隔离滚动体、引导滚动体运转、防止滚动体脱落，其材质包括冷轧钢带、不锈钢带、黄铜带以及工程塑料，制造工艺涵盖多工位级进冲压、拉深、翻边、渗氮、静音处理等。公司可提供深沟球轴承保持器、铜质分离架、静音型保持器、不锈钢保持器、渗氮保持器等两千余种规格，精度等级AI级，并配备国际水平的高精度电子检测设备。风电大型保持架对材料一致性、尺寸稳定性和疲劳强度要求极高，是公司近年重点突破并快速上量的高附加值品种。</w:t>
      </w:r>
    </w:p>
    <w:p>
      <w:pPr>
        <w:spacing w:lineRule="exact" w:line="600" w:before="0" w:after="0"/>
        <w:ind w:firstLine="420"/>
        <w:jc w:val="both"/>
      </w:pPr>
      <w:r>
        <w:rPr>
          <w:rFonts w:ascii="仿宋_GB2312" w:hAnsi="仿宋_GB2312" w:eastAsia="仿宋_GB2312"/>
          <w:b w:val="0"/>
          <w:color w:val="000000"/>
          <w:sz w:val="32"/>
        </w:rPr>
        <w:t>精密零部件产品线以新能源汽车驱动电机定转子铁芯为核心。定转子铁芯由数百层硅钢片经高速精密冲压、叠铆或粘接叠压而成，其冲片精度、叠压系数、铁损水平直接决定电机效率与NVH表现，属于新能源三电系统中技术门槛较高的结构件。公司凭借在保持架领域沉淀数十年的精密冲压与模具技术实现横向迁移，在较短时间内完成产品导入与量产爬坡，2025年该品类收入同比增长逾两倍，展现出较强的技术复用能力与产线复制能力。</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下游客户主要为国内外知名轴承制造企业、新能源汽车电驱动系统集成商及整车厂、风电整机与主轴轴承企业。2025年，公司前五大客户合计销售金额6.43亿元，占总销售金额比例为31.81%。该集中度水平在精密零部件行业中处于中等偏低区间，说明公司客户结构相对分散，对单一客户的依赖程度可控，抗客户流失冲击的能力较强。</w:t>
      </w:r>
    </w:p>
    <w:p>
      <w:pPr>
        <w:spacing w:lineRule="exact" w:line="600" w:before="0" w:after="0"/>
        <w:ind w:firstLine="420"/>
        <w:jc w:val="both"/>
      </w:pPr>
      <w:r>
        <w:rPr>
          <w:rFonts w:ascii="仿宋_GB2312" w:hAnsi="仿宋_GB2312" w:eastAsia="仿宋_GB2312"/>
          <w:b w:val="0"/>
          <w:color w:val="000000"/>
          <w:sz w:val="32"/>
        </w:rPr>
        <w:t>从客户质量看，轴承保持架属于强认证行业，进入国际与国内一线轴承企业的合格供应商名录通常需要经历两到三年的样件试制、小批量验证与体系审核，认证一旦通过则替换成本高、合作关系稳定。公司股东之一洛阳新强联回转支承股份有限公司系风电主轴轴承与回转支承领域上市公司，股权与业务的双重纽带有助于公司在风电配套链条中获得更稳定的订单来源。新能源电驱动定转子业务的客户则更多为整车厂及Tier1电驱动供应商，此类客户订单量大、账期相对规范，但对降本节奏与交付准时率要求严苛。</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主要原材料为冷轧钢带、不锈钢带、黄铜带、硅钢片及工程塑料粒子等，属于典型的大宗金属材料驱动型成本结构，原材料成本在营业成本中占比较高。2025年，公司前五名供应商合计采购金额4.74亿元，占年度采购总额比例为32.14%，采购集中度与销售集中度基本匹配，供应链谈判处于相对均衡状态。</w:t>
      </w:r>
    </w:p>
    <w:p>
      <w:pPr>
        <w:spacing w:lineRule="exact" w:line="600" w:before="0" w:after="0"/>
        <w:ind w:firstLine="420"/>
        <w:jc w:val="both"/>
      </w:pPr>
      <w:r>
        <w:rPr>
          <w:rFonts w:ascii="仿宋_GB2312" w:hAnsi="仿宋_GB2312" w:eastAsia="仿宋_GB2312"/>
          <w:b w:val="0"/>
          <w:color w:val="000000"/>
          <w:sz w:val="32"/>
        </w:rPr>
        <w:t>硅钢片（尤其是高牌号无取向硅钢）是定转子铁芯的核心原材料，其价格与供应受钢铁行业产能配置与新能源需求波动影响较大。随着定转子业务体量迅速放大，公司对硅钢片的采购规模与库存占用同步上升，这也是2025年经营活动现金流承压的重要成因之一。建议持续关注公司在原材料集中采购、价格联动条款、战略备货与套期保值方面的机制建设。</w:t>
      </w:r>
    </w:p>
    <w:p>
      <w:pPr>
        <w:spacing w:lineRule="exact" w:line="600" w:before="120" w:after="120"/>
        <w:ind w:firstLine="420"/>
        <w:jc w:val="left"/>
      </w:pPr>
      <w:r>
        <w:rPr>
          <w:rFonts w:ascii="楷体_GB2312" w:hAnsi="楷体_GB2312" w:eastAsia="楷体_GB2312"/>
          <w:b w:val="0"/>
          <w:color w:val="000000"/>
          <w:sz w:val="32"/>
        </w:rPr>
        <w:t>（五）产能、资源与资质</w:t>
      </w:r>
    </w:p>
    <w:p>
      <w:pPr>
        <w:spacing w:lineRule="exact" w:line="600" w:before="0" w:after="0"/>
        <w:ind w:firstLine="420"/>
        <w:jc w:val="both"/>
      </w:pPr>
      <w:r>
        <w:rPr>
          <w:rFonts w:ascii="仿宋_GB2312" w:hAnsi="仿宋_GB2312" w:eastAsia="仿宋_GB2312"/>
          <w:b w:val="0"/>
          <w:color w:val="000000"/>
          <w:sz w:val="32"/>
        </w:rPr>
        <w:t>公司主生产基地位于聊城市东昌府区郑家镇工业区，围绕IPO募投项目与自筹项目持续扩充精密冲压、模具制造、热处理与自动化装配产能。2025年末公司总资产49.01亿元，较上年增长48.76%，公司明确说明主要系"以精密冲压技术为主线，结合市场订单及客户需求，进行中长期战略布局，配置相应的土地、厂房及生产设施等非流动资产"，反映出较为激进的产能扩张节奏。</w:t>
      </w:r>
    </w:p>
    <w:p>
      <w:pPr>
        <w:spacing w:lineRule="exact" w:line="600" w:before="0" w:after="0"/>
        <w:ind w:firstLine="420"/>
        <w:jc w:val="both"/>
      </w:pPr>
      <w:r>
        <w:rPr>
          <w:rFonts w:ascii="仿宋_GB2312" w:hAnsi="仿宋_GB2312" w:eastAsia="仿宋_GB2312"/>
          <w:b w:val="0"/>
          <w:color w:val="000000"/>
          <w:sz w:val="32"/>
        </w:rPr>
        <w:t>资质荣誉方面，公司为国家高新技术企业、国家级专精特新"小巨人"企业、国家级制造业单项冠军企业、国家企业技术中心、山东省技术创新示范企业、省级企业技术中心、瞪羚企业、A级纳税人，并作为起草单位参与国家标准GB/T 39273-2020的制定。这些资质既是技术实力的第三方背书，也是获取政府专项资金、税收优惠与产业基金支持的重要凭证。</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以直销模式为主，通过技术营销团队直接对接轴承厂、电驱动系统厂与整车厂的采购与技术部门，参与客户新产品同步开发（ESI），以设计介入换取长周期订单。出口业务通过自营进出口渠道开展，覆盖欧美、日韩及东南亚市场。2025年国外销售收入1.68亿元，占比8.31%，海外拓展仍处于起步阶段。</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公司在轴承保持器细分赛道处于国内领先地位，被认定为国家级制造业单项冠军，公开资料称其为国内生产规模最大的轴承保持器专业生产厂家。2025年末公司员工总数4793人，同比增加37.73%；人均创收42.15万元、同比增长8.24%，人均创利3.07万元、同比增长7.35%，人均薪酬9.51万元、同比下降3.73%。人员规模的大幅扩张与人均效能的同步提升，印证了新增产能的有效释放。</w:t>
      </w:r>
    </w:p>
    <w:p>
      <w:pPr>
        <w:spacing w:lineRule="exact" w:line="600" w:before="0" w:after="0"/>
        <w:ind w:firstLine="420"/>
        <w:jc w:val="both"/>
      </w:pPr>
      <w:r>
        <w:rPr>
          <w:rFonts w:ascii="仿宋_GB2312" w:hAnsi="仿宋_GB2312" w:eastAsia="仿宋_GB2312"/>
          <w:b w:val="0"/>
          <w:color w:val="000000"/>
          <w:sz w:val="32"/>
        </w:rPr>
        <w:t>成长性方面，截至2025年末公司三年营业总收入复合增长率为22.57%，在金属制品行业已披露2025年数据的9家公司中排名第1；三年净利润复合年增长率为5.15%，排名第4。收入端高速增长而利润端增速相对温和，反映出公司当前处于"以价换量、以规模换份额"的战略扩张期，盈利质量的修复有赖于新产品良率提升与规模效应的进一步显现。</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3061"/>
          </w:tcPr>
          <w:p>
            <w:pPr>
              <w:spacing w:lineRule="exact" w:line="600"/>
              <w:jc w:val="center"/>
            </w:pPr>
            <w:r/>
            <w:r>
              <w:rPr>
                <w:rFonts w:ascii="黑体" w:hAnsi="黑体" w:eastAsia="黑体"/>
                <w:b/>
                <w:color w:val="000000"/>
                <w:sz w:val="32"/>
              </w:rPr>
              <w:t>项目</w:t>
            </w:r>
          </w:p>
        </w:tc>
        <w:tc>
          <w:tcPr>
            <w:tcW w:type="dxa" w:w="1928"/>
          </w:tcPr>
          <w:p>
            <w:pPr>
              <w:spacing w:lineRule="exact" w:line="600"/>
              <w:jc w:val="center"/>
            </w:pPr>
            <w:r/>
            <w:r>
              <w:rPr>
                <w:rFonts w:ascii="黑体" w:hAnsi="黑体" w:eastAsia="黑体"/>
                <w:b/>
                <w:color w:val="000000"/>
                <w:sz w:val="32"/>
              </w:rPr>
              <w:t>2023年</w:t>
            </w:r>
          </w:p>
        </w:tc>
        <w:tc>
          <w:tcPr>
            <w:tcW w:type="dxa" w:w="1928"/>
          </w:tcPr>
          <w:p>
            <w:pPr>
              <w:spacing w:lineRule="exact" w:line="600"/>
              <w:jc w:val="center"/>
            </w:pPr>
            <w:r/>
            <w:r>
              <w:rPr>
                <w:rFonts w:ascii="黑体" w:hAnsi="黑体" w:eastAsia="黑体"/>
                <w:b/>
                <w:color w:val="000000"/>
                <w:sz w:val="32"/>
              </w:rPr>
              <w:t>2024年</w:t>
            </w:r>
          </w:p>
        </w:tc>
        <w:tc>
          <w:tcPr>
            <w:tcW w:type="dxa" w:w="1928"/>
          </w:tcPr>
          <w:p>
            <w:pPr>
              <w:spacing w:lineRule="exact" w:line="600"/>
              <w:jc w:val="center"/>
            </w:pPr>
            <w:r/>
            <w:r>
              <w:rPr>
                <w:rFonts w:ascii="黑体" w:hAnsi="黑体" w:eastAsia="黑体"/>
                <w:b/>
                <w:color w:val="000000"/>
                <w:sz w:val="32"/>
              </w:rPr>
              <w:t>2025年</w:t>
            </w:r>
          </w:p>
        </w:tc>
      </w:tr>
      <w:tr>
        <w:tc>
          <w:tcPr>
            <w:tcW w:type="dxa" w:w="3061"/>
          </w:tcPr>
          <w:p>
            <w:pPr>
              <w:spacing w:lineRule="exact" w:line="600"/>
              <w:jc w:val="center"/>
            </w:pPr>
            <w:r/>
            <w:r>
              <w:rPr>
                <w:rFonts w:ascii="仿宋_GB2312" w:hAnsi="仿宋_GB2312" w:eastAsia="仿宋_GB2312"/>
                <w:b w:val="0"/>
                <w:color w:val="000000"/>
                <w:sz w:val="32"/>
              </w:rPr>
              <w:t>营业总收入（亿元）</w:t>
            </w:r>
          </w:p>
        </w:tc>
        <w:tc>
          <w:tcPr>
            <w:tcW w:type="dxa" w:w="1928"/>
          </w:tcPr>
          <w:p>
            <w:pPr>
              <w:spacing w:lineRule="exact" w:line="600"/>
              <w:jc w:val="center"/>
            </w:pPr>
            <w:r/>
            <w:r>
              <w:rPr>
                <w:rFonts w:ascii="仿宋_GB2312" w:hAnsi="仿宋_GB2312" w:eastAsia="仿宋_GB2312"/>
                <w:b w:val="0"/>
                <w:color w:val="000000"/>
                <w:sz w:val="32"/>
              </w:rPr>
              <w:t>11.36</w:t>
            </w:r>
          </w:p>
        </w:tc>
        <w:tc>
          <w:tcPr>
            <w:tcW w:type="dxa" w:w="1928"/>
          </w:tcPr>
          <w:p>
            <w:pPr>
              <w:spacing w:lineRule="exact" w:line="600"/>
              <w:jc w:val="center"/>
            </w:pPr>
            <w:r/>
            <w:r>
              <w:rPr>
                <w:rFonts w:ascii="仿宋_GB2312" w:hAnsi="仿宋_GB2312" w:eastAsia="仿宋_GB2312"/>
                <w:b w:val="0"/>
                <w:color w:val="000000"/>
                <w:sz w:val="32"/>
              </w:rPr>
              <w:t>13.55</w:t>
            </w:r>
          </w:p>
        </w:tc>
        <w:tc>
          <w:tcPr>
            <w:tcW w:type="dxa" w:w="1928"/>
          </w:tcPr>
          <w:p>
            <w:pPr>
              <w:spacing w:lineRule="exact" w:line="600"/>
              <w:jc w:val="center"/>
            </w:pPr>
            <w:r/>
            <w:r>
              <w:rPr>
                <w:rFonts w:ascii="仿宋_GB2312" w:hAnsi="仿宋_GB2312" w:eastAsia="仿宋_GB2312"/>
                <w:b w:val="0"/>
                <w:color w:val="000000"/>
                <w:sz w:val="32"/>
              </w:rPr>
              <w:t>20.20</w:t>
            </w:r>
          </w:p>
        </w:tc>
      </w:tr>
      <w:tr>
        <w:tc>
          <w:tcPr>
            <w:tcW w:type="dxa" w:w="3061"/>
          </w:tcPr>
          <w:p>
            <w:pPr>
              <w:spacing w:lineRule="exact" w:line="600"/>
              <w:jc w:val="center"/>
            </w:pPr>
            <w:r/>
            <w:r>
              <w:rPr>
                <w:rFonts w:ascii="仿宋_GB2312" w:hAnsi="仿宋_GB2312" w:eastAsia="仿宋_GB2312"/>
                <w:b w:val="0"/>
                <w:color w:val="000000"/>
                <w:sz w:val="32"/>
              </w:rPr>
              <w:t>归母净利润（亿元）</w:t>
            </w:r>
          </w:p>
        </w:tc>
        <w:tc>
          <w:tcPr>
            <w:tcW w:type="dxa" w:w="1928"/>
          </w:tcPr>
          <w:p>
            <w:pPr>
              <w:spacing w:lineRule="exact" w:line="600"/>
              <w:jc w:val="center"/>
            </w:pPr>
            <w:r/>
            <w:r>
              <w:rPr>
                <w:rFonts w:ascii="仿宋_GB2312" w:hAnsi="仿宋_GB2312" w:eastAsia="仿宋_GB2312"/>
                <w:b w:val="0"/>
                <w:color w:val="000000"/>
                <w:sz w:val="32"/>
              </w:rPr>
              <w:t>1.32</w:t>
            </w:r>
          </w:p>
        </w:tc>
        <w:tc>
          <w:tcPr>
            <w:tcW w:type="dxa" w:w="1928"/>
          </w:tcPr>
          <w:p>
            <w:pPr>
              <w:spacing w:lineRule="exact" w:line="600"/>
              <w:jc w:val="center"/>
            </w:pPr>
            <w:r/>
            <w:r>
              <w:rPr>
                <w:rFonts w:ascii="仿宋_GB2312" w:hAnsi="仿宋_GB2312" w:eastAsia="仿宋_GB2312"/>
                <w:b w:val="0"/>
                <w:color w:val="000000"/>
                <w:sz w:val="32"/>
              </w:rPr>
              <w:t>1.00</w:t>
            </w:r>
          </w:p>
        </w:tc>
        <w:tc>
          <w:tcPr>
            <w:tcW w:type="dxa" w:w="1928"/>
          </w:tcPr>
          <w:p>
            <w:pPr>
              <w:spacing w:lineRule="exact" w:line="600"/>
              <w:jc w:val="center"/>
            </w:pPr>
            <w:r/>
            <w:r>
              <w:rPr>
                <w:rFonts w:ascii="仿宋_GB2312" w:hAnsi="仿宋_GB2312" w:eastAsia="仿宋_GB2312"/>
                <w:b w:val="0"/>
                <w:color w:val="000000"/>
                <w:sz w:val="32"/>
              </w:rPr>
              <w:t>1.47</w:t>
            </w:r>
          </w:p>
        </w:tc>
      </w:tr>
      <w:tr>
        <w:tc>
          <w:tcPr>
            <w:tcW w:type="dxa" w:w="3061"/>
          </w:tcPr>
          <w:p>
            <w:pPr>
              <w:spacing w:lineRule="exact" w:line="600"/>
              <w:jc w:val="center"/>
            </w:pPr>
            <w:r/>
            <w:r>
              <w:rPr>
                <w:rFonts w:ascii="仿宋_GB2312" w:hAnsi="仿宋_GB2312" w:eastAsia="仿宋_GB2312"/>
                <w:b w:val="0"/>
                <w:color w:val="000000"/>
                <w:sz w:val="32"/>
              </w:rPr>
              <w:t>扣非归母净利润（亿元）</w:t>
            </w:r>
          </w:p>
        </w:tc>
        <w:tc>
          <w:tcPr>
            <w:tcW w:type="dxa" w:w="1928"/>
          </w:tcPr>
          <w:p>
            <w:pPr>
              <w:spacing w:lineRule="exact" w:line="600"/>
              <w:jc w:val="center"/>
            </w:pPr>
            <w:r/>
            <w:r>
              <w:rPr>
                <w:rFonts w:ascii="仿宋_GB2312" w:hAnsi="仿宋_GB2312" w:eastAsia="仿宋_GB2312"/>
                <w:b w:val="0"/>
                <w:color w:val="000000"/>
                <w:sz w:val="32"/>
              </w:rPr>
              <w:t>—</w:t>
            </w:r>
          </w:p>
        </w:tc>
        <w:tc>
          <w:tcPr>
            <w:tcW w:type="dxa" w:w="1928"/>
          </w:tcPr>
          <w:p>
            <w:pPr>
              <w:spacing w:lineRule="exact" w:line="600"/>
              <w:jc w:val="center"/>
            </w:pPr>
            <w:r/>
            <w:r>
              <w:rPr>
                <w:rFonts w:ascii="仿宋_GB2312" w:hAnsi="仿宋_GB2312" w:eastAsia="仿宋_GB2312"/>
                <w:b w:val="0"/>
                <w:color w:val="000000"/>
                <w:sz w:val="32"/>
              </w:rPr>
              <w:t>0.84</w:t>
            </w:r>
          </w:p>
        </w:tc>
        <w:tc>
          <w:tcPr>
            <w:tcW w:type="dxa" w:w="1928"/>
          </w:tcPr>
          <w:p>
            <w:pPr>
              <w:spacing w:lineRule="exact" w:line="600"/>
              <w:jc w:val="center"/>
            </w:pPr>
            <w:r/>
            <w:r>
              <w:rPr>
                <w:rFonts w:ascii="仿宋_GB2312" w:hAnsi="仿宋_GB2312" w:eastAsia="仿宋_GB2312"/>
                <w:b w:val="0"/>
                <w:color w:val="000000"/>
                <w:sz w:val="32"/>
              </w:rPr>
              <w:t>1.34</w:t>
            </w:r>
          </w:p>
        </w:tc>
      </w:tr>
      <w:tr>
        <w:tc>
          <w:tcPr>
            <w:tcW w:type="dxa" w:w="3061"/>
          </w:tcPr>
          <w:p>
            <w:pPr>
              <w:spacing w:lineRule="exact" w:line="600"/>
              <w:jc w:val="center"/>
            </w:pPr>
            <w:r/>
            <w:r>
              <w:rPr>
                <w:rFonts w:ascii="仿宋_GB2312" w:hAnsi="仿宋_GB2312" w:eastAsia="仿宋_GB2312"/>
                <w:b w:val="0"/>
                <w:color w:val="000000"/>
                <w:sz w:val="32"/>
              </w:rPr>
              <w:t>基本每股收益（元）</w:t>
            </w:r>
          </w:p>
        </w:tc>
        <w:tc>
          <w:tcPr>
            <w:tcW w:type="dxa" w:w="1928"/>
          </w:tcPr>
          <w:p>
            <w:pPr>
              <w:spacing w:lineRule="exact" w:line="600"/>
              <w:jc w:val="center"/>
            </w:pPr>
            <w:r/>
            <w:r>
              <w:rPr>
                <w:rFonts w:ascii="仿宋_GB2312" w:hAnsi="仿宋_GB2312" w:eastAsia="仿宋_GB2312"/>
                <w:b w:val="0"/>
                <w:color w:val="000000"/>
                <w:sz w:val="32"/>
              </w:rPr>
              <w:t>0.74</w:t>
            </w:r>
          </w:p>
        </w:tc>
        <w:tc>
          <w:tcPr>
            <w:tcW w:type="dxa" w:w="1928"/>
          </w:tcPr>
          <w:p>
            <w:pPr>
              <w:spacing w:lineRule="exact" w:line="600"/>
              <w:jc w:val="center"/>
            </w:pPr>
            <w:r/>
            <w:r>
              <w:rPr>
                <w:rFonts w:ascii="仿宋_GB2312" w:hAnsi="仿宋_GB2312" w:eastAsia="仿宋_GB2312"/>
                <w:b w:val="0"/>
                <w:color w:val="000000"/>
                <w:sz w:val="32"/>
              </w:rPr>
              <w:t>0.45</w:t>
            </w:r>
          </w:p>
        </w:tc>
        <w:tc>
          <w:tcPr>
            <w:tcW w:type="dxa" w:w="1928"/>
          </w:tcPr>
          <w:p>
            <w:pPr>
              <w:spacing w:lineRule="exact" w:line="600"/>
              <w:jc w:val="center"/>
            </w:pPr>
            <w:r/>
            <w:r>
              <w:rPr>
                <w:rFonts w:ascii="仿宋_GB2312" w:hAnsi="仿宋_GB2312" w:eastAsia="仿宋_GB2312"/>
                <w:b w:val="0"/>
                <w:color w:val="000000"/>
                <w:sz w:val="32"/>
              </w:rPr>
              <w:t>0.67</w:t>
            </w:r>
          </w:p>
        </w:tc>
      </w:tr>
      <w:tr>
        <w:tc>
          <w:tcPr>
            <w:tcW w:type="dxa" w:w="3061"/>
          </w:tcPr>
          <w:p>
            <w:pPr>
              <w:spacing w:lineRule="exact" w:line="600"/>
              <w:jc w:val="center"/>
            </w:pPr>
            <w:r/>
            <w:r>
              <w:rPr>
                <w:rFonts w:ascii="仿宋_GB2312" w:hAnsi="仿宋_GB2312" w:eastAsia="仿宋_GB2312"/>
                <w:b w:val="0"/>
                <w:color w:val="000000"/>
                <w:sz w:val="32"/>
              </w:rPr>
              <w:t>销售毛利率（%）</w:t>
            </w:r>
          </w:p>
        </w:tc>
        <w:tc>
          <w:tcPr>
            <w:tcW w:type="dxa" w:w="1928"/>
          </w:tcPr>
          <w:p>
            <w:pPr>
              <w:spacing w:lineRule="exact" w:line="600"/>
              <w:jc w:val="center"/>
            </w:pPr>
            <w:r/>
            <w:r>
              <w:rPr>
                <w:rFonts w:ascii="仿宋_GB2312" w:hAnsi="仿宋_GB2312" w:eastAsia="仿宋_GB2312"/>
                <w:b w:val="0"/>
                <w:color w:val="000000"/>
                <w:sz w:val="32"/>
              </w:rPr>
              <w:t>—</w:t>
            </w:r>
          </w:p>
        </w:tc>
        <w:tc>
          <w:tcPr>
            <w:tcW w:type="dxa" w:w="1928"/>
          </w:tcPr>
          <w:p>
            <w:pPr>
              <w:spacing w:lineRule="exact" w:line="600"/>
              <w:jc w:val="center"/>
            </w:pPr>
            <w:r/>
            <w:r>
              <w:rPr>
                <w:rFonts w:ascii="仿宋_GB2312" w:hAnsi="仿宋_GB2312" w:eastAsia="仿宋_GB2312"/>
                <w:b w:val="0"/>
                <w:color w:val="000000"/>
                <w:sz w:val="32"/>
              </w:rPr>
              <w:t>28.64</w:t>
            </w:r>
          </w:p>
        </w:tc>
        <w:tc>
          <w:tcPr>
            <w:tcW w:type="dxa" w:w="1928"/>
          </w:tcPr>
          <w:p>
            <w:pPr>
              <w:spacing w:lineRule="exact" w:line="600"/>
              <w:jc w:val="center"/>
            </w:pPr>
            <w:r/>
            <w:r>
              <w:rPr>
                <w:rFonts w:ascii="仿宋_GB2312" w:hAnsi="仿宋_GB2312" w:eastAsia="仿宋_GB2312"/>
                <w:b w:val="0"/>
                <w:color w:val="000000"/>
                <w:sz w:val="32"/>
              </w:rPr>
              <w:t>26.03</w:t>
            </w:r>
          </w:p>
        </w:tc>
      </w:tr>
      <w:tr>
        <w:tc>
          <w:tcPr>
            <w:tcW w:type="dxa" w:w="3061"/>
          </w:tcPr>
          <w:p>
            <w:pPr>
              <w:spacing w:lineRule="exact" w:line="600"/>
              <w:jc w:val="center"/>
            </w:pPr>
            <w:r/>
            <w:r>
              <w:rPr>
                <w:rFonts w:ascii="仿宋_GB2312" w:hAnsi="仿宋_GB2312" w:eastAsia="仿宋_GB2312"/>
                <w:b w:val="0"/>
                <w:color w:val="000000"/>
                <w:sz w:val="32"/>
              </w:rPr>
              <w:t>销售净利率（%）</w:t>
            </w:r>
          </w:p>
        </w:tc>
        <w:tc>
          <w:tcPr>
            <w:tcW w:type="dxa" w:w="1928"/>
          </w:tcPr>
          <w:p>
            <w:pPr>
              <w:spacing w:lineRule="exact" w:line="600"/>
              <w:jc w:val="center"/>
            </w:pPr>
            <w:r/>
            <w:r>
              <w:rPr>
                <w:rFonts w:ascii="仿宋_GB2312" w:hAnsi="仿宋_GB2312" w:eastAsia="仿宋_GB2312"/>
                <w:b w:val="0"/>
                <w:color w:val="000000"/>
                <w:sz w:val="32"/>
              </w:rPr>
              <w:t>—</w:t>
            </w:r>
          </w:p>
        </w:tc>
        <w:tc>
          <w:tcPr>
            <w:tcW w:type="dxa" w:w="1928"/>
          </w:tcPr>
          <w:p>
            <w:pPr>
              <w:spacing w:lineRule="exact" w:line="600"/>
              <w:jc w:val="center"/>
            </w:pPr>
            <w:r/>
            <w:r>
              <w:rPr>
                <w:rFonts w:ascii="仿宋_GB2312" w:hAnsi="仿宋_GB2312" w:eastAsia="仿宋_GB2312"/>
                <w:b w:val="0"/>
                <w:color w:val="000000"/>
                <w:sz w:val="32"/>
              </w:rPr>
              <w:t>7.15</w:t>
            </w:r>
          </w:p>
        </w:tc>
        <w:tc>
          <w:tcPr>
            <w:tcW w:type="dxa" w:w="1928"/>
          </w:tcPr>
          <w:p>
            <w:pPr>
              <w:spacing w:lineRule="exact" w:line="600"/>
              <w:jc w:val="center"/>
            </w:pPr>
            <w:r/>
            <w:r>
              <w:rPr>
                <w:rFonts w:ascii="仿宋_GB2312" w:hAnsi="仿宋_GB2312" w:eastAsia="仿宋_GB2312"/>
                <w:b w:val="0"/>
                <w:color w:val="000000"/>
                <w:sz w:val="32"/>
              </w:rPr>
              <w:t>7.17</w:t>
            </w:r>
          </w:p>
        </w:tc>
      </w:tr>
      <w:tr>
        <w:tc>
          <w:tcPr>
            <w:tcW w:type="dxa" w:w="3061"/>
          </w:tcPr>
          <w:p>
            <w:pPr>
              <w:spacing w:lineRule="exact" w:line="600"/>
              <w:jc w:val="center"/>
            </w:pPr>
            <w:r/>
            <w:r>
              <w:rPr>
                <w:rFonts w:ascii="仿宋_GB2312" w:hAnsi="仿宋_GB2312" w:eastAsia="仿宋_GB2312"/>
                <w:b w:val="0"/>
                <w:color w:val="000000"/>
                <w:sz w:val="32"/>
              </w:rPr>
              <w:t>加权平均净资产收益率（%）</w:t>
            </w:r>
          </w:p>
        </w:tc>
        <w:tc>
          <w:tcPr>
            <w:tcW w:type="dxa" w:w="1928"/>
          </w:tcPr>
          <w:p>
            <w:pPr>
              <w:spacing w:lineRule="exact" w:line="600"/>
              <w:jc w:val="center"/>
            </w:pPr>
            <w:r/>
            <w:r>
              <w:rPr>
                <w:rFonts w:ascii="仿宋_GB2312" w:hAnsi="仿宋_GB2312" w:eastAsia="仿宋_GB2312"/>
                <w:b w:val="0"/>
                <w:color w:val="000000"/>
                <w:sz w:val="32"/>
              </w:rPr>
              <w:t>—</w:t>
            </w:r>
          </w:p>
        </w:tc>
        <w:tc>
          <w:tcPr>
            <w:tcW w:type="dxa" w:w="1928"/>
          </w:tcPr>
          <w:p>
            <w:pPr>
              <w:spacing w:lineRule="exact" w:line="600"/>
              <w:jc w:val="center"/>
            </w:pPr>
            <w:r/>
            <w:r>
              <w:rPr>
                <w:rFonts w:ascii="仿宋_GB2312" w:hAnsi="仿宋_GB2312" w:eastAsia="仿宋_GB2312"/>
                <w:b w:val="0"/>
                <w:color w:val="000000"/>
                <w:sz w:val="32"/>
              </w:rPr>
              <w:t>4.64</w:t>
            </w:r>
          </w:p>
        </w:tc>
        <w:tc>
          <w:tcPr>
            <w:tcW w:type="dxa" w:w="1928"/>
          </w:tcPr>
          <w:p>
            <w:pPr>
              <w:spacing w:lineRule="exact" w:line="600"/>
              <w:jc w:val="center"/>
            </w:pPr>
            <w:r/>
            <w:r>
              <w:rPr>
                <w:rFonts w:ascii="仿宋_GB2312" w:hAnsi="仿宋_GB2312" w:eastAsia="仿宋_GB2312"/>
                <w:b w:val="0"/>
                <w:color w:val="000000"/>
                <w:sz w:val="32"/>
              </w:rPr>
              <w:t>6.63</w:t>
            </w:r>
          </w:p>
        </w:tc>
      </w:tr>
      <w:tr>
        <w:tc>
          <w:tcPr>
            <w:tcW w:type="dxa" w:w="3061"/>
          </w:tcPr>
          <w:p>
            <w:pPr>
              <w:spacing w:lineRule="exact" w:line="600"/>
              <w:jc w:val="center"/>
            </w:pPr>
            <w:r/>
            <w:r>
              <w:rPr>
                <w:rFonts w:ascii="仿宋_GB2312" w:hAnsi="仿宋_GB2312" w:eastAsia="仿宋_GB2312"/>
                <w:b w:val="0"/>
                <w:color w:val="000000"/>
                <w:sz w:val="32"/>
              </w:rPr>
              <w:t>经营活动现金流净额（亿元）</w:t>
            </w:r>
          </w:p>
        </w:tc>
        <w:tc>
          <w:tcPr>
            <w:tcW w:type="dxa" w:w="1928"/>
          </w:tcPr>
          <w:p>
            <w:pPr>
              <w:spacing w:lineRule="exact" w:line="600"/>
              <w:jc w:val="center"/>
            </w:pPr>
            <w:r/>
            <w:r>
              <w:rPr>
                <w:rFonts w:ascii="仿宋_GB2312" w:hAnsi="仿宋_GB2312" w:eastAsia="仿宋_GB2312"/>
                <w:b w:val="0"/>
                <w:color w:val="000000"/>
                <w:sz w:val="32"/>
              </w:rPr>
              <w:t>—</w:t>
            </w:r>
          </w:p>
        </w:tc>
        <w:tc>
          <w:tcPr>
            <w:tcW w:type="dxa" w:w="1928"/>
          </w:tcPr>
          <w:p>
            <w:pPr>
              <w:spacing w:lineRule="exact" w:line="600"/>
              <w:jc w:val="center"/>
            </w:pPr>
            <w:r/>
            <w:r>
              <w:rPr>
                <w:rFonts w:ascii="仿宋_GB2312" w:hAnsi="仿宋_GB2312" w:eastAsia="仿宋_GB2312"/>
                <w:b w:val="0"/>
                <w:color w:val="000000"/>
                <w:sz w:val="32"/>
              </w:rPr>
              <w:t>-1.58</w:t>
            </w:r>
          </w:p>
        </w:tc>
        <w:tc>
          <w:tcPr>
            <w:tcW w:type="dxa" w:w="1928"/>
          </w:tcPr>
          <w:p>
            <w:pPr>
              <w:spacing w:lineRule="exact" w:line="600"/>
              <w:jc w:val="center"/>
            </w:pPr>
            <w:r/>
            <w:r>
              <w:rPr>
                <w:rFonts w:ascii="仿宋_GB2312" w:hAnsi="仿宋_GB2312" w:eastAsia="仿宋_GB2312"/>
                <w:b w:val="0"/>
                <w:color w:val="000000"/>
                <w:sz w:val="32"/>
              </w:rPr>
              <w:t>-3.71</w:t>
            </w:r>
          </w:p>
        </w:tc>
      </w:tr>
      <w:tr>
        <w:tc>
          <w:tcPr>
            <w:tcW w:type="dxa" w:w="3061"/>
          </w:tcPr>
          <w:p>
            <w:pPr>
              <w:spacing w:lineRule="exact" w:line="600"/>
              <w:jc w:val="center"/>
            </w:pPr>
            <w:r/>
            <w:r>
              <w:rPr>
                <w:rFonts w:ascii="仿宋_GB2312" w:hAnsi="仿宋_GB2312" w:eastAsia="仿宋_GB2312"/>
                <w:b w:val="0"/>
                <w:color w:val="000000"/>
                <w:sz w:val="32"/>
              </w:rPr>
              <w:t>总资产（亿元）</w:t>
            </w:r>
          </w:p>
        </w:tc>
        <w:tc>
          <w:tcPr>
            <w:tcW w:type="dxa" w:w="1928"/>
          </w:tcPr>
          <w:p>
            <w:pPr>
              <w:spacing w:lineRule="exact" w:line="600"/>
              <w:jc w:val="center"/>
            </w:pPr>
            <w:r/>
            <w:r>
              <w:rPr>
                <w:rFonts w:ascii="仿宋_GB2312" w:hAnsi="仿宋_GB2312" w:eastAsia="仿宋_GB2312"/>
                <w:b w:val="0"/>
                <w:color w:val="000000"/>
                <w:sz w:val="32"/>
              </w:rPr>
              <w:t>—</w:t>
            </w:r>
          </w:p>
        </w:tc>
        <w:tc>
          <w:tcPr>
            <w:tcW w:type="dxa" w:w="1928"/>
          </w:tcPr>
          <w:p>
            <w:pPr>
              <w:spacing w:lineRule="exact" w:line="600"/>
              <w:jc w:val="center"/>
            </w:pPr>
            <w:r/>
            <w:r>
              <w:rPr>
                <w:rFonts w:ascii="仿宋_GB2312" w:hAnsi="仿宋_GB2312" w:eastAsia="仿宋_GB2312"/>
                <w:b w:val="0"/>
                <w:color w:val="000000"/>
                <w:sz w:val="32"/>
              </w:rPr>
              <w:t>32.94</w:t>
            </w:r>
          </w:p>
        </w:tc>
        <w:tc>
          <w:tcPr>
            <w:tcW w:type="dxa" w:w="1928"/>
          </w:tcPr>
          <w:p>
            <w:pPr>
              <w:spacing w:lineRule="exact" w:line="600"/>
              <w:jc w:val="center"/>
            </w:pPr>
            <w:r/>
            <w:r>
              <w:rPr>
                <w:rFonts w:ascii="仿宋_GB2312" w:hAnsi="仿宋_GB2312" w:eastAsia="仿宋_GB2312"/>
                <w:b w:val="0"/>
                <w:color w:val="000000"/>
                <w:sz w:val="32"/>
              </w:rPr>
              <w:t>49.01</w:t>
            </w:r>
          </w:p>
        </w:tc>
      </w:tr>
      <w:tr>
        <w:tc>
          <w:tcPr>
            <w:tcW w:type="dxa" w:w="3061"/>
          </w:tcPr>
          <w:p>
            <w:pPr>
              <w:spacing w:lineRule="exact" w:line="600"/>
              <w:jc w:val="center"/>
            </w:pPr>
            <w:r/>
            <w:r>
              <w:rPr>
                <w:rFonts w:ascii="仿宋_GB2312" w:hAnsi="仿宋_GB2312" w:eastAsia="仿宋_GB2312"/>
                <w:b w:val="0"/>
                <w:color w:val="000000"/>
                <w:sz w:val="32"/>
              </w:rPr>
              <w:t>归母所有者权益（亿元）</w:t>
            </w:r>
          </w:p>
        </w:tc>
        <w:tc>
          <w:tcPr>
            <w:tcW w:type="dxa" w:w="1928"/>
          </w:tcPr>
          <w:p>
            <w:pPr>
              <w:spacing w:lineRule="exact" w:line="600"/>
              <w:jc w:val="center"/>
            </w:pPr>
            <w:r/>
            <w:r>
              <w:rPr>
                <w:rFonts w:ascii="仿宋_GB2312" w:hAnsi="仿宋_GB2312" w:eastAsia="仿宋_GB2312"/>
                <w:b w:val="0"/>
                <w:color w:val="000000"/>
                <w:sz w:val="32"/>
              </w:rPr>
              <w:t>—</w:t>
            </w:r>
          </w:p>
        </w:tc>
        <w:tc>
          <w:tcPr>
            <w:tcW w:type="dxa" w:w="1928"/>
          </w:tcPr>
          <w:p>
            <w:pPr>
              <w:spacing w:lineRule="exact" w:line="600"/>
              <w:jc w:val="center"/>
            </w:pPr>
            <w:r/>
            <w:r>
              <w:rPr>
                <w:rFonts w:ascii="仿宋_GB2312" w:hAnsi="仿宋_GB2312" w:eastAsia="仿宋_GB2312"/>
                <w:b w:val="0"/>
                <w:color w:val="000000"/>
                <w:sz w:val="32"/>
              </w:rPr>
              <w:t>21.53</w:t>
            </w:r>
          </w:p>
        </w:tc>
        <w:tc>
          <w:tcPr>
            <w:tcW w:type="dxa" w:w="1928"/>
          </w:tcPr>
          <w:p>
            <w:pPr>
              <w:spacing w:lineRule="exact" w:line="600"/>
              <w:jc w:val="center"/>
            </w:pPr>
            <w:r/>
            <w:r>
              <w:rPr>
                <w:rFonts w:ascii="仿宋_GB2312" w:hAnsi="仿宋_GB2312" w:eastAsia="仿宋_GB2312"/>
                <w:b w:val="0"/>
                <w:color w:val="000000"/>
                <w:sz w:val="32"/>
              </w:rPr>
              <w:t>22.60</w:t>
            </w:r>
          </w:p>
        </w:tc>
      </w:tr>
    </w:tbl>
    <w:p>
      <w:pPr>
        <w:spacing w:lineRule="exact" w:line="600" w:before="0" w:after="0"/>
        <w:jc w:val="left"/>
      </w:pPr>
      <w:r>
        <w:rPr>
          <w:rFonts w:ascii="仿宋_GB2312" w:hAnsi="仿宋_GB2312" w:eastAsia="仿宋_GB2312"/>
          <w:b w:val="0"/>
          <w:color w:val="000000"/>
          <w:sz w:val="28"/>
        </w:rPr>
        <w:t>注：2022年公司实现营业总收入10.97亿元、归母净利润1.27亿元、每股收益0.77元。2024年总资产与归母权益系根据2025年年报披露的同比增幅（分别为48.76%、4.97%）倒算，仅供趋势参考，具体以定期报告披露数据为准。</w:t>
      </w:r>
    </w:p>
    <w:p>
      <w:pPr>
        <w:spacing w:lineRule="exact" w:line="600" w:before="120" w:after="120"/>
        <w:ind w:firstLine="420"/>
        <w:jc w:val="left"/>
      </w:pPr>
      <w:r>
        <w:rPr>
          <w:rFonts w:ascii="楷体_GB2312" w:hAnsi="楷体_GB2312" w:eastAsia="楷体_GB2312"/>
          <w:b w:val="0"/>
          <w:color w:val="000000"/>
          <w:sz w:val="32"/>
        </w:rPr>
        <w:t>（二）盈利能力分析</w:t>
      </w:r>
    </w:p>
    <w:p>
      <w:pPr>
        <w:spacing w:lineRule="exact" w:line="600" w:before="0" w:after="0"/>
        <w:ind w:firstLine="420"/>
        <w:jc w:val="both"/>
      </w:pPr>
      <w:r>
        <w:rPr>
          <w:rFonts w:ascii="仿宋_GB2312" w:hAnsi="仿宋_GB2312" w:eastAsia="仿宋_GB2312"/>
          <w:b w:val="0"/>
          <w:color w:val="000000"/>
          <w:sz w:val="32"/>
        </w:rPr>
        <w:t>收入端，公司近四年营业收入由2022年的10.97亿元增长至2025年的20.20亿元，累计增幅84.1%，其中2025年单年增长49.07%，增长动能主要来自新能源电驱动定转子（+231.16%）与风电保持架（+61.02%）两大高景气品类。利润端，2025年归母净利润1.47亿元、同比增长47.86%，扣非归母净利润1.34亿元、同比增长60.60%，扣非增速显著高于归母增速，说明利润增长的内生性、可持续性有所增强，对政府补助等非经常性损益的依赖度下降。</w:t>
      </w:r>
    </w:p>
    <w:p>
      <w:pPr>
        <w:spacing w:lineRule="exact" w:line="600" w:before="0" w:after="0"/>
        <w:ind w:firstLine="420"/>
        <w:jc w:val="both"/>
      </w:pPr>
      <w:r>
        <w:rPr>
          <w:rFonts w:ascii="仿宋_GB2312" w:hAnsi="仿宋_GB2312" w:eastAsia="仿宋_GB2312"/>
          <w:b w:val="0"/>
          <w:color w:val="000000"/>
          <w:sz w:val="32"/>
        </w:rPr>
        <w:t>需要关注的是盈利水平的阶段性波动。2023年公司归母净利润1.32亿元，2024年回落至0.9954亿元、同比下降约24.6%，2025年方恢复至1.47亿元。同时，2025年销售毛利率26.03%，同比下降2.61个百分点；第四季度单季毛利率23.36%，同比下降4.29个百分点、环比下降1.51个百分点，毛利率呈逐季走低态势。毛利率下行的主要原因，一是新能源定转子业务处于产能爬坡与客户导入期，前期良率与折旧摊销压力较大、单位成本偏高；二是新能源汽车产业链年降压力持续传导；三是产品结构中相对低毛利的精密零部件占比快速提升，形成结构性稀释。所幸销售净利率保持稳定（2025年7.17%，同比微升0.02个百分点），说明期间费用率管控与规模效应部分对冲了毛利率下滑。</w:t>
      </w:r>
    </w:p>
    <w:p>
      <w:pPr>
        <w:spacing w:lineRule="exact" w:line="600" w:before="0" w:after="0"/>
        <w:ind w:firstLine="420"/>
        <w:jc w:val="both"/>
      </w:pPr>
      <w:r>
        <w:rPr>
          <w:rFonts w:ascii="仿宋_GB2312" w:hAnsi="仿宋_GB2312" w:eastAsia="仿宋_GB2312"/>
          <w:b w:val="0"/>
          <w:color w:val="000000"/>
          <w:sz w:val="32"/>
        </w:rPr>
        <w:t>回报率指标呈修复态势。2025年加权平均净资产收益率6.63%，较上年同期上升1.99个百分点；投入资本回报率5.07%，较上年同期上升1.10个百分点。但需客观指出，ROE与ROIC的绝对水平仍显偏低，主要因IPO募集资金到位后净资产大幅增厚而项目效益尚未完全释放，属于成长型制造企业上市后的普遍现象，后续能否随产能利用率提升而持续改善，是判断公司投资价值的关键观察点。</w:t>
      </w:r>
    </w:p>
    <w:p>
      <w:pPr>
        <w:spacing w:lineRule="exact" w:line="600" w:before="120" w:after="120"/>
        <w:ind w:firstLine="420"/>
        <w:jc w:val="left"/>
      </w:pPr>
      <w:r>
        <w:rPr>
          <w:rFonts w:ascii="楷体_GB2312" w:hAnsi="楷体_GB2312" w:eastAsia="楷体_GB2312"/>
          <w:b w:val="0"/>
          <w:color w:val="000000"/>
          <w:sz w:val="32"/>
        </w:rPr>
        <w:t>（三）资产质量分析</w:t>
      </w:r>
    </w:p>
    <w:p>
      <w:pPr>
        <w:spacing w:lineRule="exact" w:line="600" w:before="0" w:after="0"/>
        <w:ind w:firstLine="420"/>
        <w:jc w:val="both"/>
      </w:pPr>
      <w:r>
        <w:rPr>
          <w:rFonts w:ascii="仿宋_GB2312" w:hAnsi="仿宋_GB2312" w:eastAsia="仿宋_GB2312"/>
          <w:b w:val="0"/>
          <w:color w:val="000000"/>
          <w:sz w:val="32"/>
        </w:rPr>
        <w:t>2025年末公司总资产49.01亿元，同比增长48.76%，增速甚至超过营业收入增速，呈现"资产先行、收入跟进"的重资产扩张特征。资产增长主要投向土地、厂房、生产设施等非流动资产，以及伴随收入放量而增加的应收账款与存货。</w:t>
      </w:r>
    </w:p>
    <w:p>
      <w:pPr>
        <w:spacing w:lineRule="exact" w:line="600" w:before="0" w:after="0"/>
        <w:ind w:firstLine="420"/>
        <w:jc w:val="both"/>
      </w:pPr>
      <w:r>
        <w:rPr>
          <w:rFonts w:ascii="仿宋_GB2312" w:hAnsi="仿宋_GB2312" w:eastAsia="仿宋_GB2312"/>
          <w:b w:val="0"/>
          <w:color w:val="000000"/>
          <w:sz w:val="32"/>
        </w:rPr>
        <w:t>归母所有者权益22.60亿元，同比增长4.97%，每股净资产10.31元。权益增速远低于资产增速，意味着资产扩张主要依靠债务性资金与经营性负债支撑，杠杆水平相应抬升。以2025年末总资产49.01亿元与归母权益22.60亿元估算，权益占比约46.1%，资产负债率上限约53.9%（该口径未剔除少数股东权益，实际资产负债率应略低于此值）。对于一家上市未满三年、正处于产能扩张高峰期的制造企业而言，该杠杆水平尚属可控，但已明显高于上市初期，需持续跟踪。</w:t>
      </w:r>
    </w:p>
    <w:p>
      <w:pPr>
        <w:spacing w:lineRule="exact" w:line="600" w:before="120" w:after="120"/>
        <w:ind w:firstLine="420"/>
        <w:jc w:val="left"/>
      </w:pPr>
      <w:r>
        <w:rPr>
          <w:rFonts w:ascii="楷体_GB2312" w:hAnsi="楷体_GB2312" w:eastAsia="楷体_GB2312"/>
          <w:b w:val="0"/>
          <w:color w:val="000000"/>
          <w:sz w:val="32"/>
        </w:rPr>
        <w:t>（四）负债与偿债能力</w:t>
      </w:r>
    </w:p>
    <w:p>
      <w:pPr>
        <w:spacing w:lineRule="exact" w:line="600" w:before="0" w:after="0"/>
        <w:ind w:firstLine="420"/>
        <w:jc w:val="both"/>
      </w:pPr>
      <w:r>
        <w:rPr>
          <w:rFonts w:ascii="仿宋_GB2312" w:hAnsi="仿宋_GB2312" w:eastAsia="仿宋_GB2312"/>
          <w:b w:val="0"/>
          <w:color w:val="000000"/>
          <w:sz w:val="32"/>
        </w:rPr>
        <w:t>公司负债规模随资产扩张同步上升，构成中既包括银行借款等有息负债，也包括应付账款、应付票据等经营性负债。2026年3月，公司披露向不特定对象发行可转换公司债券的申请文件审核问询函回复及更新公告，反映出公司在权益融资之后继续通过"股债结合"工具补充中长期资金的意图，若可转债顺利发行，将在一定期限内改善资本结构与资金期限匹配。</w:t>
      </w:r>
    </w:p>
    <w:p>
      <w:pPr>
        <w:spacing w:lineRule="exact" w:line="600" w:before="0" w:after="0"/>
        <w:ind w:firstLine="420"/>
        <w:jc w:val="both"/>
      </w:pPr>
      <w:r>
        <w:rPr>
          <w:rFonts w:ascii="仿宋_GB2312" w:hAnsi="仿宋_GB2312" w:eastAsia="仿宋_GB2312"/>
          <w:b w:val="0"/>
          <w:color w:val="000000"/>
          <w:sz w:val="32"/>
        </w:rPr>
        <w:t>偿债能力方面，公司作为上交所主板上市公司，融资渠道多元、信用记录良好，2025年以来连续实施现金分红（2025年1月每10股派1.0元、2025年7月派0.5元、2025年10月派0.5元、2025年12月派1.5元，2026年6月派1.2元），显示经营现金获取能力与股东回报意愿。但需注意，在经营活动现金流连续为负的情况下维持较高频次分红，对短期流动性形成一定占用。</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是公司当前财务结构中最需警惕的环节。2025年经营活动产生的现金流量净额为-3.71亿元，上年同期为-1.58亿元，净流出规模同比扩大逾一倍，且与1.47亿元的归母净利润形成显著背离。造成"增收增利不增现金"的原因主要有三：其一，收入规模同比增长49.07%，应收账款与应收票据随之大幅增加，回款滞后于确收；其二，新能源定转子等新品类进入放量期，硅钢片等原材料备货与在制品、库存商品占用大量营运资金；其三，为配合客户交付节奏，公司对上游付款条件相对刚性，经营性应付的缓冲作用有限。</w:t>
      </w:r>
    </w:p>
    <w:p>
      <w:pPr>
        <w:spacing w:lineRule="exact" w:line="600" w:before="0" w:after="0"/>
        <w:ind w:firstLine="420"/>
        <w:jc w:val="both"/>
      </w:pPr>
      <w:r>
        <w:rPr>
          <w:rFonts w:ascii="仿宋_GB2312" w:hAnsi="仿宋_GB2312" w:eastAsia="仿宋_GB2312"/>
          <w:b w:val="0"/>
          <w:color w:val="000000"/>
          <w:sz w:val="32"/>
        </w:rPr>
        <w:t>投资活动方面，公司持续投入土地、厂房与设备，投资性现金流预计维持较大净流出；筹资活动则主要依靠IPO募集资金、银行借款及拟发行可转债提供支撑。总体判断，公司正处于典型的"高增长、高投入、高营运资金占用"阶段，短期内对外部资金（尤其是与应收账款、存货相挂钩的营运资金类融资）存在真实且持续的需求，这正是产业金融机构可以精准切入的窗口。</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金属制品及轴承零部件行业可比公司相比，公司的突出优势在于成长性：三年营业收入复合增长率22.57%，在行业已披露2025年数据的9家公司中排名第1。相对短板在于盈利质量与现金转化：三年净利润复合增长率5.15%（排名4/9），显著低于收入复合增速；毛利率26.03%在精密零部件行业中处于中游水平；经营活动现金流连续两年为负，在同业中属于偏弱表现。</w:t>
      </w:r>
    </w:p>
    <w:p>
      <w:pPr>
        <w:spacing w:lineRule="exact" w:line="600" w:before="0" w:after="0"/>
        <w:ind w:firstLine="420"/>
        <w:jc w:val="both"/>
      </w:pPr>
      <w:r>
        <w:rPr>
          <w:rFonts w:ascii="仿宋_GB2312" w:hAnsi="仿宋_GB2312" w:eastAsia="仿宋_GB2312"/>
          <w:b w:val="0"/>
          <w:color w:val="000000"/>
          <w:sz w:val="32"/>
        </w:rPr>
        <w:t>截至2026年3月30日收盘价计算，公司市盈率（TTM）约35.95倍，市净率（LF）约2.34倍，市销率（TTM）约2.62倍。估值水平体现了市场对其新能源转型逻辑的认可，同时也隐含了对后续业绩兑现的较高期待。</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已建立符合上市公司监管要求的治理体系，股东大会、董事会、监事会与经理层权责分明。董事会中设有独立董事王德建、程明、宋军，其中宋军担任薪酬与考核委员会主任委员，独立董事在关联交易、对外担保、利润分配等事项上发挥制衡作用。公司聘请上会会计师事务所（特殊普通合伙）担任审计机构，北京市中伦律师事务所担任常年法律顾问。</w:t>
      </w:r>
    </w:p>
    <w:p>
      <w:pPr>
        <w:spacing w:lineRule="exact" w:line="600" w:before="0" w:after="0"/>
        <w:ind w:firstLine="420"/>
        <w:jc w:val="both"/>
      </w:pPr>
      <w:r>
        <w:rPr>
          <w:rFonts w:ascii="仿宋_GB2312" w:hAnsi="仿宋_GB2312" w:eastAsia="仿宋_GB2312"/>
          <w:b w:val="0"/>
          <w:color w:val="000000"/>
          <w:sz w:val="32"/>
        </w:rPr>
        <w:t>公司积极响应上海证券交易所"提质增效重回报"专项行动倡议，于2025年4月28日召开第三届董事会第十六次会议制定年度行动方案，并于2026年3月对上年度方案进行评估并制定新一年度方案，围绕聚焦主业、提升经营质量、强化投资者回报等方面作出公开承诺，体现了较强的市值管理意识与信息披露主动性。</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董事长、总经理、法定代表人均由郑广会担任，其个人直接持股2000万股（9.13%），并通过金帝咨询、鑫智源、鑫慧源等平台间接控制大部分股权，是公司战略方向的决定性人物。董事会秘书、副总经理、财务总监由薛泰尧兼任，同时其在鑫智源、鑫创源等员工持股平台中持有份额，利益与公司长期发展绑定。</w:t>
      </w:r>
    </w:p>
    <w:p>
      <w:pPr>
        <w:spacing w:lineRule="exact" w:line="600" w:before="0" w:after="0"/>
        <w:ind w:firstLine="420"/>
        <w:jc w:val="both"/>
      </w:pPr>
      <w:r>
        <w:rPr>
          <w:rFonts w:ascii="仿宋_GB2312" w:hAnsi="仿宋_GB2312" w:eastAsia="仿宋_GB2312"/>
          <w:b w:val="0"/>
          <w:color w:val="000000"/>
          <w:sz w:val="32"/>
        </w:rPr>
        <w:t>管理层的突出特点是产业背景深厚、稳定性强，核心团队多为在金帝体系内成长起来的技术与管理骨干。这种"创业者+老兵"的结构有利于战略定力的保持与制造现场的精细化管理，但也需警惕决策高度集中于实际控制人个人、董事会独立监督实效有限、职业经理人引进不足等潜在治理风险，尤其在公司进入多品类、多基地、全球化经营阶段后，管理半径的扩张对组织能力提出更高要求。</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ISO9001质量管理体系认证，建立了覆盖来料检验、过程控制、成品检测的全流程质量管理机制，并配备高精度电子检测设备。作为国家企业技术中心承载单位，公司将保持架的设计开发、理论研究、材料研究、检测试验作为主要研究方向，集设计、试验、检测、分析、研究、鉴定于一体，形成了较为完整的研发与验证闭环。</w:t>
      </w:r>
    </w:p>
    <w:p>
      <w:pPr>
        <w:spacing w:lineRule="exact" w:line="600" w:before="0" w:after="0"/>
        <w:ind w:firstLine="420"/>
        <w:jc w:val="both"/>
      </w:pPr>
      <w:r>
        <w:rPr>
          <w:rFonts w:ascii="仿宋_GB2312" w:hAnsi="仿宋_GB2312" w:eastAsia="仿宋_GB2312"/>
          <w:b w:val="0"/>
          <w:color w:val="000000"/>
          <w:sz w:val="32"/>
        </w:rPr>
        <w:t>内部控制方面，作为主板上市公司，公司需按规定披露内部控制评价报告与审计报告。据企业信用信息平台显示，公司存在自身风险信息5条，数量在同规模上市公司中处于较低水平，未见重大行政处罚或严重失信记录。建议在业务快速扩张、新建产线密集投产的背景下，重点强化存货管理、应收账款账龄管控与在建工程转固的内控执行力度。</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2025年末公司员工总数4793人，同比增加37.73%，人员扩张与产能扩张基本同步。人均创收42.15万元、人均创利3.07万元，均较上年提升；人均薪酬9.51万元、同比下降3.73%，主要系新增员工以一线操作岗为主、结构性拉低平均值所致。公司通过鑫智源、鑫慧源、鑫创源等多个员工持股平台，以及IPO战略配售专项资管计划，将数十名核心骨干纳入股权激励范围，覆盖面较广、绑定机制较为扎实。</w:t>
      </w:r>
    </w:p>
    <w:p>
      <w:pPr>
        <w:spacing w:lineRule="exact" w:line="600" w:before="120" w:after="120"/>
        <w:ind w:firstLine="420"/>
        <w:jc w:val="left"/>
      </w:pPr>
      <w:r>
        <w:rPr>
          <w:rFonts w:ascii="黑体" w:hAnsi="黑体" w:eastAsia="黑体"/>
          <w:b w:val="0"/>
          <w:color w:val="000000"/>
          <w:sz w:val="32"/>
        </w:rPr>
        <w:t>五、核心竞争力（护城河）分析</w:t>
      </w:r>
    </w:p>
    <w:p>
      <w:pPr>
        <w:spacing w:lineRule="exact" w:line="600" w:before="0" w:after="0"/>
        <w:ind w:firstLine="420"/>
        <w:jc w:val="both"/>
      </w:pPr>
      <w:r>
        <w:rPr>
          <w:rFonts w:ascii="仿宋_GB2312" w:hAnsi="仿宋_GB2312" w:eastAsia="仿宋_GB2312"/>
          <w:b w:val="0"/>
          <w:color w:val="000000"/>
          <w:sz w:val="32"/>
        </w:rPr>
        <w:t>第一，技术与工艺壁垒。轴承保持架看似简单，实则对材料性能、模具设计、冲压工艺与热处理控制的综合要求极高，公司深耕四十年积累的两千余种规格产品数据库、AI级精度控制能力与模具自制能力，构成难以在短期内复制的工艺know-how。更关键的是，这套精密冲压能力可跨品类迁移至新能源电驱动定转子铁芯，使公司在新赛道上具备"降维打击"的起点优势。</w:t>
      </w:r>
    </w:p>
    <w:p>
      <w:pPr>
        <w:spacing w:lineRule="exact" w:line="600" w:before="0" w:after="0"/>
        <w:ind w:firstLine="420"/>
        <w:jc w:val="both"/>
      </w:pPr>
      <w:r>
        <w:rPr>
          <w:rFonts w:ascii="仿宋_GB2312" w:hAnsi="仿宋_GB2312" w:eastAsia="仿宋_GB2312"/>
          <w:b w:val="0"/>
          <w:color w:val="000000"/>
          <w:sz w:val="32"/>
        </w:rPr>
        <w:t>第二，客户认证与替换壁垒。轴承与电驱动系统属安全件、性能件，供应商认证周期长、审核严格，一旦进入合格供应商名录，客户轻易不会更换。公司前五大客户集中度31.81%，说明其已构建起分散而稳定的优质客户网络。</w:t>
      </w:r>
    </w:p>
    <w:p>
      <w:pPr>
        <w:spacing w:lineRule="exact" w:line="600" w:before="0" w:after="0"/>
        <w:ind w:firstLine="420"/>
        <w:jc w:val="both"/>
      </w:pPr>
      <w:r>
        <w:rPr>
          <w:rFonts w:ascii="仿宋_GB2312" w:hAnsi="仿宋_GB2312" w:eastAsia="仿宋_GB2312"/>
          <w:b w:val="0"/>
          <w:color w:val="000000"/>
          <w:sz w:val="32"/>
        </w:rPr>
        <w:t>第三，资质与标准话语权。国家级制造业单项冠军、国家级专精特新"小巨人"、国家企业技术中心三项国家级认定叠加，加之参与国家标准起草，使公司在招投标、政府支持、客户准入等环节享有显性溢价。</w:t>
      </w:r>
    </w:p>
    <w:p>
      <w:pPr>
        <w:spacing w:lineRule="exact" w:line="600" w:before="0" w:after="0"/>
        <w:ind w:firstLine="420"/>
        <w:jc w:val="both"/>
      </w:pPr>
      <w:r>
        <w:rPr>
          <w:rFonts w:ascii="仿宋_GB2312" w:hAnsi="仿宋_GB2312" w:eastAsia="仿宋_GB2312"/>
          <w:b w:val="0"/>
          <w:color w:val="000000"/>
          <w:sz w:val="32"/>
        </w:rPr>
        <w:t>第四，产业集群协同优势。公司所处的聊城东昌府郑家镇是全国保持器产业最集中的区域，钢带供应、模具加工、热处理、表面处理等配套环节均可就近解决，带来显著的物流成本、响应速度与柔性生产优势。</w:t>
      </w:r>
    </w:p>
    <w:p>
      <w:pPr>
        <w:spacing w:lineRule="exact" w:line="600" w:before="0" w:after="0"/>
        <w:ind w:firstLine="420"/>
        <w:jc w:val="both"/>
      </w:pPr>
      <w:r>
        <w:rPr>
          <w:rFonts w:ascii="仿宋_GB2312" w:hAnsi="仿宋_GB2312" w:eastAsia="仿宋_GB2312"/>
          <w:b w:val="0"/>
          <w:color w:val="000000"/>
          <w:sz w:val="32"/>
        </w:rPr>
        <w:t>第五，资本与股东资源优势。作为主板上市公司，公司具备股权、可转债、银行信贷等多层次融资能力；股东中既有地方国资背景的金源基金、财信新动能、黄河三角洲产业投资基金，也有风电轴承龙头洛阳新强联，形成了"资本+产业"的双重资源加持。</w:t>
      </w:r>
    </w:p>
    <w:p>
      <w:pPr>
        <w:spacing w:lineRule="exact" w:line="600" w:before="0" w:after="0"/>
        <w:ind w:firstLine="420"/>
        <w:jc w:val="both"/>
      </w:pPr>
      <w:r>
        <w:rPr>
          <w:rFonts w:ascii="仿宋_GB2312" w:hAnsi="仿宋_GB2312" w:eastAsia="仿宋_GB2312"/>
          <w:b w:val="0"/>
          <w:color w:val="000000"/>
          <w:sz w:val="32"/>
        </w:rPr>
        <w:t>第六，成本与规模优势。国内生产规模最大的保持器专业厂家地位，使公司在钢带、铜带集中采购中具备议价能力；4793人的产业工人队伍与自动化产线结合，在人工成本相对较低的鲁西地区形成综合成本优势。</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（一）行业与市场风险</w:t>
      </w:r>
    </w:p>
    <w:p>
      <w:pPr>
        <w:spacing w:lineRule="exact" w:line="600" w:before="0" w:after="0"/>
        <w:ind w:firstLine="420"/>
        <w:jc w:val="both"/>
      </w:pPr>
      <w:r>
        <w:rPr>
          <w:rFonts w:ascii="仿宋_GB2312" w:hAnsi="仿宋_GB2312" w:eastAsia="仿宋_GB2312"/>
          <w:b w:val="0"/>
          <w:color w:val="000000"/>
          <w:sz w:val="32"/>
        </w:rPr>
        <w:t>公司下游高度依赖新能源汽车与风电两大景气行业。新能源汽车行业已由高速增长期转入结构调整期，价格战与年降压力沿产业链向上传导，零部件供应商利润空间持续承压；风电行业则受招标节奏、补贴退坡与整机价格竞争影响，呈现明显周期波动。若两大下游同时降速，公司高速增长的收入曲线可能面临失速风险。</w:t>
      </w:r>
    </w:p>
    <w:p>
      <w:pPr>
        <w:spacing w:lineRule="exact" w:line="600" w:before="0" w:after="0"/>
        <w:ind w:firstLine="420"/>
        <w:jc w:val="both"/>
      </w:pPr>
      <w:r>
        <w:rPr>
          <w:rFonts w:ascii="仿宋_GB2312" w:hAnsi="仿宋_GB2312" w:eastAsia="仿宋_GB2312"/>
          <w:b w:val="0"/>
          <w:color w:val="000000"/>
          <w:sz w:val="32"/>
        </w:rPr>
        <w:t>同时，传统轴承保持架业务面临国内产能过剩与低价竞争，行业内中小企业众多、同质化严重，价格战侵蚀行业整体毛利。国际市场方面，贸易摩擦、关税壁垒与地缘政治因素可能对公司占比虽小但战略意义重要的出口业务构成扰动。</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一是产能消化风险。2025年公司总资产同比增长48.76%，大量资金沉淀于土地、厂房与设备，若下游需求不及预期或客户导入进度滞后，新增产能利用率不足将直接推高单位固定成本，进一步侵蚀毛利率。二是新业务爬坡风险。新能源定转子业务收入一年增长231.16%，增速极快，但新产品良率、交付准时率与质量一致性尚需时间验证，一旦发生批量质量事故，不仅面临索赔，更可能丧失客户资格。三是原材料价格波动风险。硅钢、冷轧钢带、黄铜价格波动直接影响成本，公司议价能力在大型钢厂面前相对有限。</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最突出的是现金流风险。2024年、2025年经营活动现金流净额分别为-1.58亿元、-3.71亿元，连续两年大额净流出，与净利润严重背离。若这一态势延续，公司将持续依赖外部融资维持运转，财务费用上升与流动性紧张的压力会逐步显现。其次是应收账款与存货风险，收入高速增长背景下，应收账款规模与账龄结构、存货跌价准备计提是否充分，需在年报附注中重点核查。第三是杠杆上升风险，资产增速远超权益增速，资产负债率上限已升至约53.9%，若可转债发行受阻，资金链的腾挪空间将被压缩。第四是毛利率持续下行风险，2025年毛利率同比下降2.61个百分点且逐季走低，若无法通过良率提升与产品结构优化止跌，利润增长的可持续性存疑。</w:t>
      </w:r>
    </w:p>
    <w:p>
      <w:pPr>
        <w:spacing w:lineRule="exact" w:line="600" w:before="120" w:after="120"/>
        <w:ind w:firstLine="420"/>
        <w:jc w:val="left"/>
      </w:pPr>
      <w:r>
        <w:rPr>
          <w:rFonts w:ascii="楷体_GB2312" w:hAnsi="楷体_GB2312" w:eastAsia="楷体_GB2312"/>
          <w:b w:val="0"/>
          <w:color w:val="000000"/>
          <w:sz w:val="32"/>
        </w:rPr>
        <w:t>（四）合规与治理风险</w:t>
      </w:r>
    </w:p>
    <w:p>
      <w:pPr>
        <w:spacing w:lineRule="exact" w:line="600" w:before="0" w:after="0"/>
        <w:ind w:firstLine="420"/>
        <w:jc w:val="both"/>
      </w:pPr>
      <w:r>
        <w:rPr>
          <w:rFonts w:ascii="仿宋_GB2312" w:hAnsi="仿宋_GB2312" w:eastAsia="仿宋_GB2312"/>
          <w:b w:val="0"/>
          <w:color w:val="000000"/>
          <w:sz w:val="32"/>
        </w:rPr>
        <w:t>2023年9月上市首日的战略配售融券事件虽经证监会核查未认定违规，但暴露出公司在资本运作舆情管理与投资者沟通方面的经验不足，此类事件对上市公司声誉的长期影响不容低估。此外，公司实际控制人郑广会、赵秀华夫妇合计控制表决权约57%，且郑广会同时担任董事长、总经理与法定代表人，"一股独大+两职合一"的结构对中小股东权益保护与董事会独立性构成潜在挑战。关联方数量较多（集团成员企业约15家），关联交易的公允性与信息披露完整性需持续关注。</w:t>
      </w:r>
    </w:p>
    <w:p>
      <w:pPr>
        <w:spacing w:lineRule="exact" w:line="600" w:before="120" w:after="120"/>
        <w:ind w:firstLine="420"/>
        <w:jc w:val="left"/>
      </w:pPr>
      <w:r>
        <w:rPr>
          <w:rFonts w:ascii="楷体_GB2312" w:hAnsi="楷体_GB2312" w:eastAsia="楷体_GB2312"/>
          <w:b w:val="0"/>
          <w:color w:val="000000"/>
          <w:sz w:val="32"/>
        </w:rPr>
        <w:t>（五）管理与人才风险</w:t>
      </w:r>
    </w:p>
    <w:p>
      <w:pPr>
        <w:spacing w:lineRule="exact" w:line="600" w:before="0" w:after="0"/>
        <w:ind w:firstLine="420"/>
        <w:jc w:val="both"/>
      </w:pPr>
      <w:r>
        <w:rPr>
          <w:rFonts w:ascii="仿宋_GB2312" w:hAnsi="仿宋_GB2312" w:eastAsia="仿宋_GB2312"/>
          <w:b w:val="0"/>
          <w:color w:val="000000"/>
          <w:sz w:val="32"/>
        </w:rPr>
        <w:t>员工总数一年增加37.73%，管理幅度骤然扩大，对企业文化传承、现场管理标准化、质量意识贯彻均构成压力。同时，公司地处鲁西三四线城市，在吸引电机设计、材料科学、自动化控制等高层次人才方面存在天然区位劣势，人均薪酬同比下降3.73%也可能影响高端人才的吸引力。</w:t>
      </w:r>
    </w:p>
    <w:p>
      <w:pPr>
        <w:spacing w:lineRule="exact" w:line="600" w:before="120" w:after="120"/>
        <w:ind w:firstLine="420"/>
        <w:jc w:val="left"/>
      </w:pPr>
      <w:r>
        <w:rPr>
          <w:rFonts w:ascii="楷体_GB2312" w:hAnsi="楷体_GB2312" w:eastAsia="楷体_GB2312"/>
          <w:b w:val="0"/>
          <w:color w:val="000000"/>
          <w:sz w:val="32"/>
        </w:rPr>
        <w:t>（六）公司现有应对措施</w:t>
      </w:r>
    </w:p>
    <w:p>
      <w:pPr>
        <w:spacing w:lineRule="exact" w:line="600" w:before="0" w:after="0"/>
        <w:ind w:firstLine="420"/>
        <w:jc w:val="both"/>
      </w:pPr>
      <w:r>
        <w:rPr>
          <w:rFonts w:ascii="仿宋_GB2312" w:hAnsi="仿宋_GB2312" w:eastAsia="仿宋_GB2312"/>
          <w:b w:val="0"/>
          <w:color w:val="000000"/>
          <w:sz w:val="32"/>
        </w:rPr>
        <w:t>针对上述风险，公司已采取的措施包括：坚定推行"双轮驱动"战略，以保持架基本盘对冲新业务波动；持续加大研发投入，依托国家企业技术中心攻关材料与工艺瓶颈，通过良率提升消化降价压力；深化全球产业布局，拓展海外客户以分散区域风险；推进募投项目实施、量产产线复制与新产品拓展，加快在建工程转化为有效产能；通过发行可转换公司债券补充中长期资金，改善债务期限结构；连续制定并评估"提质增效重回报"行动方案，强化投资者关系管理；以多层次员工持股平台绑定核心团队，稳定人才队伍。</w:t>
      </w:r>
    </w:p>
    <w:p>
      <w:pPr>
        <w:spacing w:lineRule="exact" w:line="600" w:before="120" w:after="120"/>
        <w:ind w:firstLine="420"/>
        <w:jc w:val="left"/>
      </w:pPr>
      <w:r>
        <w:rPr>
          <w:rFonts w:ascii="黑体" w:hAnsi="黑体" w:eastAsia="黑体"/>
          <w:b w:val="0"/>
          <w:color w:val="000000"/>
          <w:sz w:val="32"/>
        </w:rPr>
        <w:t>七、融资需求分析与山东投资业务协同建议</w:t>
      </w:r>
    </w:p>
    <w:p>
      <w:pPr>
        <w:spacing w:lineRule="exact" w:line="600" w:before="120" w:after="120"/>
        <w:ind w:firstLine="420"/>
        <w:jc w:val="left"/>
      </w:pPr>
      <w:r>
        <w:rPr>
          <w:rFonts w:ascii="楷体_GB2312" w:hAnsi="楷体_GB2312" w:eastAsia="楷体_GB2312"/>
          <w:b w:val="0"/>
          <w:color w:val="000000"/>
          <w:sz w:val="32"/>
        </w:rPr>
        <w:t>（一）企业融资需求的总体判断</w:t>
      </w:r>
    </w:p>
    <w:p>
      <w:pPr>
        <w:spacing w:lineRule="exact" w:line="600" w:before="0" w:after="0"/>
        <w:ind w:firstLine="420"/>
        <w:jc w:val="both"/>
      </w:pPr>
      <w:r>
        <w:rPr>
          <w:rFonts w:ascii="仿宋_GB2312" w:hAnsi="仿宋_GB2312" w:eastAsia="仿宋_GB2312"/>
          <w:b w:val="0"/>
          <w:color w:val="000000"/>
          <w:sz w:val="32"/>
        </w:rPr>
        <w:t>金帝股份的融资需求具有"规模大、期限长、营运资金占比高"三个鲜明特征。一方面，公司处于产能扩张高峰期，2025年总资产同比增长48.76%，土地、厂房、设备等长期资产投入需要中长期资金匹配；另一方面，2024年、2025年经营活动现金流净额分别为-1.58亿元、-3.71亿元，收入每增长1元即产生显著的应收账款与存货占用，营运资金缺口刚性且持续扩大。作为主板上市公司，公司在银行授信与资本市场直接融资渠道上具备明显优势，但银行流贷额度受限于财务指标、可转债发行受制于审核周期，非银渠道的产业金融工具恰可填补其"快、灵、贴合业务场景"的资金需求，具备较高的合作价值与较低的信用风险。</w:t>
      </w:r>
    </w:p>
    <w:p>
      <w:pPr>
        <w:spacing w:lineRule="exact" w:line="600" w:before="120" w:after="120"/>
        <w:ind w:firstLine="420"/>
        <w:jc w:val="left"/>
      </w:pPr>
      <w:r>
        <w:rPr>
          <w:rFonts w:ascii="楷体_GB2312" w:hAnsi="楷体_GB2312" w:eastAsia="楷体_GB2312"/>
          <w:b w:val="0"/>
          <w:color w:val="000000"/>
          <w:sz w:val="32"/>
        </w:rPr>
        <w:t>（二）商业保理业务切入建议</w:t>
      </w:r>
    </w:p>
    <w:p>
      <w:pPr>
        <w:spacing w:lineRule="exact" w:line="600" w:before="0" w:after="0"/>
        <w:ind w:firstLine="420"/>
        <w:jc w:val="both"/>
      </w:pPr>
      <w:r>
        <w:rPr>
          <w:rFonts w:ascii="仿宋_GB2312" w:hAnsi="仿宋_GB2312" w:eastAsia="仿宋_GB2312"/>
          <w:b w:val="0"/>
          <w:color w:val="000000"/>
          <w:sz w:val="32"/>
        </w:rPr>
        <w:t>保理业务是与金帝股份合作的最优切入点。公司客户群为国内外知名轴承企业、整车厂与Tier1电驱动供应商，付款主体资信优良、应收账款质量高、确权难度小；2025年营业收入20.20亿元，前五大客户销售额6.43亿元，仅头部客户即可支撑数亿元级别的保理业务空间。考虑到公司经营现金流连续为负、回款周期偏长，通过应收账款保理提前回笼资金，对其而言是解决痛点的刚需产品，合作意愿预计较强。</w:t>
      </w:r>
    </w:p>
    <w:p>
      <w:pPr>
        <w:spacing w:lineRule="exact" w:line="600" w:before="0" w:after="0"/>
        <w:ind w:firstLine="420"/>
        <w:jc w:val="both"/>
      </w:pPr>
      <w:r>
        <w:rPr>
          <w:rFonts w:ascii="仿宋_GB2312" w:hAnsi="仿宋_GB2312" w:eastAsia="仿宋_GB2312"/>
          <w:b w:val="0"/>
          <w:color w:val="000000"/>
          <w:sz w:val="32"/>
        </w:rPr>
        <w:t>具体操作上，建议优先选择应收账款确权清晰、付款方资信良好的核心客户订单开展有追索权保理，首期额度以企业上年度对该客户结算额的三至五成为宜，账期匹配其真实回款周期并预留缓冲；同步要求企业提供近三年销售台账、增值税发票、出库单与对账单，建立"合同—发票—物流—回款"四流合一的验证机制，防范虚假贸易与重复融资风险。</w:t>
      </w:r>
    </w:p>
    <w:p>
      <w:pPr>
        <w:spacing w:lineRule="exact" w:line="600" w:before="120" w:after="120"/>
        <w:ind w:firstLine="420"/>
        <w:jc w:val="left"/>
      </w:pPr>
      <w:r>
        <w:rPr>
          <w:rFonts w:ascii="楷体_GB2312" w:hAnsi="楷体_GB2312" w:eastAsia="楷体_GB2312"/>
          <w:b w:val="0"/>
          <w:color w:val="000000"/>
          <w:sz w:val="32"/>
        </w:rPr>
        <w:t>（三）供应链金融业务切入建议</w:t>
      </w:r>
    </w:p>
    <w:p>
      <w:pPr>
        <w:spacing w:lineRule="exact" w:line="600" w:before="0" w:after="0"/>
        <w:ind w:firstLine="420"/>
        <w:jc w:val="both"/>
      </w:pPr>
      <w:r>
        <w:rPr>
          <w:rFonts w:ascii="仿宋_GB2312" w:hAnsi="仿宋_GB2312" w:eastAsia="仿宋_GB2312"/>
          <w:b w:val="0"/>
          <w:color w:val="000000"/>
          <w:sz w:val="32"/>
        </w:rPr>
        <w:t>供应链金融方面，金帝股份自身即可作为区域性核心企业。其上游为钢带、铜带、硅钢片供应商及模具、热处理等本地配套企业，这些中小微企业普遍存在账期压力与融资难问题；以金帝股份的上市公司信用为锚，开展反向保理、电子债权凭证流转与订单融资，既能为集群内中小企业输血，又能借助核心企业的付款信用大幅降低风险敞口，是"一点接入、批量获客"的高效模式。</w:t>
      </w:r>
    </w:p>
    <w:p>
      <w:pPr>
        <w:spacing w:lineRule="exact" w:line="600" w:before="0" w:after="0"/>
        <w:ind w:firstLine="420"/>
        <w:jc w:val="both"/>
      </w:pPr>
      <w:r>
        <w:rPr>
          <w:rFonts w:ascii="仿宋_GB2312" w:hAnsi="仿宋_GB2312" w:eastAsia="仿宋_GB2312"/>
          <w:b w:val="0"/>
          <w:color w:val="000000"/>
          <w:sz w:val="32"/>
        </w:rPr>
        <w:t>建议依托核心企业信用，搭建"1+N"供应链金融方案：对上游，围绕钢材、铜材、化纤原丝等大宗原材料采购环节提供订单融资与预付款融资，帮助企业锁定原材料价格、平抑价格波动；对下游，围绕经销与直供客户提供应收账款池融资与电子债权凭证流转服务，实现核心企业信用向多级供应商穿透。同时可探索与地方产业园区、行业协会合作，以集群整体授信方式降低单户尽调成本，提高业务可复制性。</w:t>
      </w:r>
    </w:p>
    <w:p>
      <w:pPr>
        <w:spacing w:lineRule="exact" w:line="600" w:before="120" w:after="120"/>
        <w:ind w:firstLine="420"/>
        <w:jc w:val="left"/>
      </w:pPr>
      <w:r>
        <w:rPr>
          <w:rFonts w:ascii="楷体_GB2312" w:hAnsi="楷体_GB2312" w:eastAsia="楷体_GB2312"/>
          <w:b w:val="0"/>
          <w:color w:val="000000"/>
          <w:sz w:val="32"/>
        </w:rPr>
        <w:t>（四）融资租赁业务切入建议</w:t>
      </w:r>
    </w:p>
    <w:p>
      <w:pPr>
        <w:spacing w:lineRule="exact" w:line="600" w:before="0" w:after="0"/>
        <w:ind w:firstLine="420"/>
        <w:jc w:val="both"/>
      </w:pPr>
      <w:r>
        <w:rPr>
          <w:rFonts w:ascii="仿宋_GB2312" w:hAnsi="仿宋_GB2312" w:eastAsia="仿宋_GB2312"/>
          <w:b w:val="0"/>
          <w:color w:val="000000"/>
          <w:sz w:val="32"/>
        </w:rPr>
        <w:t>融资租赁与公司的重资产扩张节奏高度契合。公司持续采购精密冲压机、多工位级进模、高速冲床、叠铆设备、热处理生产线与自动化检测装备，单台价值高、通用性较强、二手流通市场成熟，是理想的租赁标的。尤其可重点推介售后回租方案：将公司已投产的存量优质设备盘活为现金，直接缓解其经营活动现金流压力，同时租金支出可在税前列支，对企业具有现实吸引力。</w:t>
      </w:r>
    </w:p>
    <w:p>
      <w:pPr>
        <w:spacing w:lineRule="exact" w:line="600" w:before="0" w:after="0"/>
        <w:ind w:firstLine="420"/>
        <w:jc w:val="both"/>
      </w:pPr>
      <w:r>
        <w:rPr>
          <w:rFonts w:ascii="仿宋_GB2312" w:hAnsi="仿宋_GB2312" w:eastAsia="仿宋_GB2312"/>
          <w:b w:val="0"/>
          <w:color w:val="000000"/>
          <w:sz w:val="32"/>
        </w:rPr>
        <w:t>融资租赁业务应重点关注租赁物的通用性与处置价值。对于精密冲压机、多工位级进模、数控加工中心、热处理生产线、经编机、检测设备等标准化程度较高、二手市场活跃的设备，可采用直租或售后回租方式，租期建议三至五年，首付比例与保证金依企业资信分档设定；对于专用性极强、拆装成本高的定制线体，则应审慎评估，必要时追加担保或提高首付比例。</w:t>
      </w:r>
    </w:p>
    <w:p>
      <w:pPr>
        <w:spacing w:lineRule="exact" w:line="600" w:before="120" w:after="120"/>
        <w:ind w:firstLine="420"/>
        <w:jc w:val="left"/>
      </w:pPr>
      <w:r>
        <w:rPr>
          <w:rFonts w:ascii="楷体_GB2312" w:hAnsi="楷体_GB2312" w:eastAsia="楷体_GB2312"/>
          <w:b w:val="0"/>
          <w:color w:val="000000"/>
          <w:sz w:val="32"/>
        </w:rPr>
        <w:t>（五）小额贷款业务切入建议</w:t>
      </w:r>
    </w:p>
    <w:p>
      <w:pPr>
        <w:spacing w:lineRule="exact" w:line="600" w:before="0" w:after="0"/>
        <w:ind w:firstLine="420"/>
        <w:jc w:val="both"/>
      </w:pPr>
      <w:r>
        <w:rPr>
          <w:rFonts w:ascii="仿宋_GB2312" w:hAnsi="仿宋_GB2312" w:eastAsia="仿宋_GB2312"/>
          <w:b w:val="0"/>
          <w:color w:val="000000"/>
          <w:sz w:val="32"/>
        </w:rPr>
        <w:t>小额贷款对金帝股份本部而言额度偏小、适配性有限，但可作为服务其供应链末端的补充工具。围绕公司在聊城东昌府本地的数十家配套加工厂、模具作坊与物流承运商，以"核心企业推荐+订单/回款验证"的方式发放小额短期贷款，可在风险可控前提下批量拓客，并借此增强与核心企业的黏性。</w:t>
      </w:r>
    </w:p>
    <w:p>
      <w:pPr>
        <w:spacing w:lineRule="exact" w:line="600" w:before="0" w:after="0"/>
        <w:ind w:firstLine="420"/>
        <w:jc w:val="both"/>
      </w:pPr>
      <w:r>
        <w:rPr>
          <w:rFonts w:ascii="仿宋_GB2312" w:hAnsi="仿宋_GB2312" w:eastAsia="仿宋_GB2312"/>
          <w:b w:val="0"/>
          <w:color w:val="000000"/>
          <w:sz w:val="32"/>
        </w:rPr>
        <w:t>小额贷款可作为覆盖集群内中小配套企业的"毛细血管"型产品，重点解决旺季备货、临时性用工、订单赶工等短频快资金需求。建议单户额度控制在百万元至千万元区间，期限以六个月至一年为主，采用"信用+保证+订单质押"的组合增信方式，并借助核心企业推荐名单、园区管委会白名单、纳税与用电数据构建准入模型，实现批量获客与风险分层。</w:t>
      </w:r>
    </w:p>
    <w:p>
      <w:pPr>
        <w:spacing w:lineRule="exact" w:line="600" w:before="120" w:after="120"/>
        <w:ind w:firstLine="420"/>
        <w:jc w:val="left"/>
      </w:pPr>
      <w:r>
        <w:rPr>
          <w:rFonts w:ascii="楷体_GB2312" w:hAnsi="楷体_GB2312" w:eastAsia="楷体_GB2312"/>
          <w:b w:val="0"/>
          <w:color w:val="000000"/>
          <w:sz w:val="32"/>
        </w:rPr>
        <w:t>（六）综合服务与风险控制建议</w:t>
      </w:r>
    </w:p>
    <w:p>
      <w:pPr>
        <w:spacing w:lineRule="exact" w:line="600" w:before="0" w:after="0"/>
        <w:ind w:firstLine="420"/>
        <w:jc w:val="both"/>
      </w:pPr>
      <w:r>
        <w:rPr>
          <w:rFonts w:ascii="仿宋_GB2312" w:hAnsi="仿宋_GB2312" w:eastAsia="仿宋_GB2312"/>
          <w:b w:val="0"/>
          <w:color w:val="000000"/>
          <w:sz w:val="32"/>
        </w:rPr>
        <w:t>风险控制方面，建议重点关注四条主线：一是紧盯经营活动现金流指标，将连续为负的季度数作为预警触发条件，动态调整授信额度；二是核查应收账款账龄结构与集中度，对超过约定账龄的应收款设置回购或追加保证金条款；三是跟踪可转债发行进展与银行授信使用情况，避免多头授信导致的整体杠杆失控；四是关注实际控制人股权质押比例与关联交易变化，防范控制权与资金占用风险。总体而言，金帝股份作为主板上市的国家级制造业单项冠军，信息披露透明、产业地位稳固、成长性突出，是山东投资在基础零部件领域可重点合作的优质标的，建议给予相对宽松的准入政策与较大的综合授信额度，并优先通过保理与融资租赁两类产品建立合作关系。</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山东金帝精密机械科技股份有限公司是聊城东昌府保持器产业集群当之无愧的链主企业，也是山东省基础零部件领域少有的"隐形冠军转型成长股"样本。公司凭借四十年精密冲压技术积淀，在轴承保持架细分市场取得国家级制造业单项冠军地位，并成功将核心工艺能力迁移至新能源汽车电驱动定转子铁芯这一高成长赛道，2025年实现营业收入20.20亿元、同比增长49.07%，归母净利润1.47亿元、同比增长47.86%，三年营收复合增长率22.57%位居行业首位，成长性突出、战略转型初步成功。</w:t>
      </w:r>
    </w:p>
    <w:p>
      <w:pPr>
        <w:spacing w:lineRule="exact" w:line="600" w:before="0" w:after="0"/>
        <w:ind w:firstLine="420"/>
        <w:jc w:val="both"/>
      </w:pPr>
      <w:r>
        <w:rPr>
          <w:rFonts w:ascii="仿宋_GB2312" w:hAnsi="仿宋_GB2312" w:eastAsia="仿宋_GB2312"/>
          <w:b w:val="0"/>
          <w:color w:val="000000"/>
          <w:sz w:val="32"/>
        </w:rPr>
        <w:t>但公司同时面临"高增长的代价"：毛利率同比下降2.61个百分点且逐季走低，经营活动现金流连续两年大额净流出（2025年-3.71亿元），资产扩张速度远超权益增速导致杠杆抬升。公司当前正处在"用现金流换增长、用规模换份额"的关键窗口期，能否在未来两到三年内实现产能有效消化、良率爬坡与现金流转正，将决定其是成长为平台型精密零部件龙头，还是陷入扩张陷阱。综合判断，公司基本面稳健、产业地位牢固、成长逻辑清晰，风险主要集中于现金流与盈利质量，属于"高成长、中风险、需紧密跟踪"型优质企业。</w:t>
      </w:r>
    </w:p>
    <w:p>
      <w:pPr>
        <w:spacing w:lineRule="exact" w:line="600" w:before="120" w:after="120"/>
        <w:ind w:firstLine="420"/>
        <w:jc w:val="left"/>
      </w:pPr>
      <w:r>
        <w:rPr>
          <w:rFonts w:ascii="楷体_GB2312" w:hAnsi="楷体_GB2312" w:eastAsia="楷体_GB2312"/>
          <w:b w:val="0"/>
          <w:color w:val="000000"/>
          <w:sz w:val="32"/>
        </w:rPr>
        <w:t>（二）未来发展展望</w:t>
      </w:r>
    </w:p>
    <w:p>
      <w:pPr>
        <w:spacing w:lineRule="exact" w:line="600" w:before="0" w:after="0"/>
        <w:ind w:firstLine="420"/>
        <w:jc w:val="both"/>
      </w:pPr>
      <w:r>
        <w:rPr>
          <w:rFonts w:ascii="仿宋_GB2312" w:hAnsi="仿宋_GB2312" w:eastAsia="仿宋_GB2312"/>
          <w:b w:val="0"/>
          <w:color w:val="000000"/>
          <w:sz w:val="32"/>
        </w:rPr>
        <w:t>据公司公开披露的战略规划与行业发展趋势判断，公司未来发展将围绕三条主线展开：一是继续做深做透精密冲压技术平台，在保持架与定转子之外，向氢能源双极板、电力设备结构件、医疗器械精密件等新领域拓展应用场景；二是深化全球产业布局，提升海外收入占比，对冲国内单一市场波动；三是通过募投项目落地、量产产线复制与自动化改造，将当前的资产投入转化为规模效益，推动毛利率与现金流修复。风电大兆瓦化趋势下的大型保持架需求、新能源汽车电驱动系统的持续放量，仍将是公司中期业绩的主要支撑。</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公司面临的核心挑战有三：其一，如何在新能源汽车产业链年降压力下守住毛利率底线，这要求公司必须以远超行业平均的速度实现良率提升与工艺降本；其二，如何扭转经营活动现金流连续为负的局面，在增长与现金安全之间找到平衡点；其三，如何在员工规模一年扩张37.73%、多品类多基地并行的背景下，完成从"能人治理"到"体系治理"的组织能力升级。</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金帝股份产业地位稳固、技术护城河深厚、成长动能强劲，是山东省基础零部件产业的标杆企业，具备与山东投资开展长期战略合作的良好基础。其真实、持续、规模可观的营运资金缺口，为保理、供应链金融、融资租赁等产业金融业务提供了确定性的需求场景。</w:t>
      </w:r>
    </w:p>
    <w:p>
      <w:pPr>
        <w:spacing w:lineRule="exact" w:line="600" w:before="0" w:after="0"/>
        <w:ind w:firstLine="420"/>
        <w:jc w:val="both"/>
      </w:pPr>
      <w:r>
        <w:rPr>
          <w:rFonts w:ascii="仿宋_GB2312" w:hAnsi="仿宋_GB2312" w:eastAsia="仿宋_GB2312"/>
          <w:b w:val="0"/>
          <w:color w:val="000000"/>
          <w:sz w:val="32"/>
        </w:rPr>
        <w:t>建议：一是尽快对接公司财务负责人，围绕应收账款保理与设备售后回租两个最贴合痛点的产品制定综合金融服务方案，力争成为公司非银融资渠道的主要合作方；二是以金帝股份为核心企业，向上下游延伸开展供应链金融与小额贷款，实现在聊城东昌府保持器集群的批量获客；三是建立以季度定期报告为节点的动态跟踪机制，重点监控经营活动现金流、毛利率、应收账款账龄与资产负债率四项指标；四是关注公司可转债发行进展，若发行成功则其偿债能力与资金充裕度将明显改善，可相应提升授信额度。</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1. 上海证券交易所上市公司信息公开页面（公司概况、股本结构、前十大股东、筹资情况、利润分配），数据日期2026年3月至8月。</w:t>
        <w:br/>
        <w:t>2. 山东金帝精密机械科技股份有限公司2025年年度报告及《2025年度业绩快报公告》（公告编号2026-028）、《关于2025年度"提质增效重回报"行动方案评估报告暨2026年度"提质增效重回报"行动方案》（公告编号2026-040），载于中国证券报、上海证券报。</w:t>
        <w:br/>
        <w:t>3. 中国证券报·中证网《金帝股份：2025年净利润同比增长47.86% 拟10派1.2元》（2026年3月31日）。</w:t>
        <w:br/>
        <w:t>4. 证券时报/人民财讯关于金帝股份2025年年报的报道（2026年3月30日）。</w:t>
        <w:br/>
        <w:t>5. 中国证监会有关部门负责人就金帝股份上市首日战略投资者出借证券有关事宜答记者问（2023年9月19日），转载于中国经济网、上海市地方金融监督管理局网站。</w:t>
        <w:br/>
        <w:t>6. 天眼查、企查查、爱企查工商登记与股权穿透信息。</w:t>
        <w:br/>
        <w:t>7. 公司官网 www.gebchina.com 及品牌资料公开信息。</w:t>
        <w:br/>
        <w:t>8. 全国标准信息公共服务平台 GB/T 39273-2020 标准起草单位信息。</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