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山东聊城东阿县(阿胶)特色产业集群</w:t>
      </w:r>
    </w:p>
    <w:p>
      <w:pPr>
        <w:spacing w:lineRule="exact" w:line="600" w:before="240" w:after="240"/>
        <w:ind w:firstLine="0"/>
        <w:jc w:val="center"/>
      </w:pPr>
      <w:r>
        <w:rPr>
          <w:rFonts w:ascii="方正小标宋简体" w:hAnsi="方正小标宋简体" w:eastAsia="方正小标宋简体"/>
          <w:b w:val="0"/>
          <w:color w:val="000000"/>
          <w:sz w:val="44"/>
        </w:rPr>
        <w:t>东阿阿胶股份有限公司企业分析报告</w:t>
      </w:r>
    </w:p>
    <w:p>
      <w:pPr>
        <w:spacing w:lineRule="exact" w:line="600" w:before="0" w:after="0"/>
        <w:jc w:val="left"/>
      </w:pPr>
      <w:r>
        <w:rPr>
          <w:rFonts w:ascii="仿宋_GB2312" w:hAnsi="仿宋_GB2312" w:eastAsia="仿宋_GB2312"/>
          <w:b w:val="0"/>
          <w:color w:val="000000"/>
          <w:sz w:val="28"/>
        </w:rPr>
        <w:t>（本报告依据东阿阿胶股份有限公司2022—2025年度报告、2025年年度报告（截至2025-12-31，2026-03披露）、巨潮资讯网公开公告、证券日报/上海证券报/中国证券报/证券时报等公开报道、天眼查/企查查股权信息整理。该公司为深圳证券交易所A股上市公司（股票代码000423），控股股东为央企华润集团体系（华润东阿阿胶有限公司、华润医药投资有限公司），属中央企业控股上市公司，本报告在相关章节重点披露其国资出资人属性与党建引领。财务数据均引自公司经审计年度报告，未作任何推算或虚构。）</w:t>
      </w:r>
    </w:p>
    <w:p>
      <w:pPr>
        <w:spacing w:lineRule="exact" w:line="600" w:before="120" w:after="120"/>
        <w:ind w:firstLine="420"/>
        <w:jc w:val="left"/>
      </w:pPr>
      <w:r>
        <w:rPr>
          <w:rFonts w:ascii="黑体" w:hAnsi="黑体" w:eastAsia="黑体"/>
          <w:b w:val="0"/>
          <w:color w:val="000000"/>
          <w:sz w:val="32"/>
        </w:rPr>
        <w:t>引言：产业集群背景</w:t>
      </w:r>
    </w:p>
    <w:p>
      <w:pPr>
        <w:spacing w:lineRule="exact" w:line="600" w:before="0" w:after="0"/>
        <w:ind w:firstLine="420"/>
        <w:jc w:val="both"/>
      </w:pPr>
      <w:r>
        <w:rPr>
          <w:rFonts w:ascii="仿宋_GB2312" w:hAnsi="仿宋_GB2312" w:eastAsia="仿宋_GB2312"/>
          <w:b w:val="0"/>
          <w:color w:val="000000"/>
          <w:sz w:val="32"/>
        </w:rPr>
        <w:t>东阿县地处山东省聊城市，是享誉中外的“阿胶之乡”，阿胶制作技艺拥有两千余年历史，是国家地理标志产品与国家级非物质文化遗产的重要承载地。阿胶产业是东阿县最具特色与辨识度的支柱产业集群，县内聚集了东阿阿胶股份有限公司（央企华润集团控股的A股上市公司）、山东东阿东方阿胶股份有限公司（新三板挂牌）、山东东阿古胶阿胶系列产品有限公司（区域老字号）等一批代表企业，并带动物流、文旅、毛驴养殖等关联产业发展。</w:t>
      </w:r>
    </w:p>
    <w:p>
      <w:pPr>
        <w:spacing w:lineRule="exact" w:line="600" w:before="0" w:after="0"/>
        <w:ind w:firstLine="420"/>
        <w:jc w:val="both"/>
      </w:pPr>
      <w:r>
        <w:rPr>
          <w:rFonts w:ascii="仿宋_GB2312" w:hAnsi="仿宋_GB2312" w:eastAsia="仿宋_GB2312"/>
          <w:b w:val="0"/>
          <w:color w:val="000000"/>
          <w:sz w:val="32"/>
        </w:rPr>
        <w:t>近年来，东阿阿胶产业集群围绕“传承精华、守正创新”推进高质量发展：以阿胶块、复方阿胶浆、阿胶糕等传统滋补品为基础，向健康消费品、男士滋补、功能性食品与“中药+食品”跨界延伸，并加速数字化营销、品牌年轻化与全球化布局。集群内企业分化明显——以央企华润控股的东阿阿胶为绝对龙头，引领行业标准与产业链整合；东方阿胶、古胶阿胶等则分别在“贡禧堂”等品牌与“古胶堂”古法炮炙非遗技艺上形成差异化定位。原料端，驴皮资源稀缺与价格波动、品牌竞争与渠道变革，是集群共同面临的核心课题。本报告所分析的三家企业，分别代表了集群内央企控股上市公司龙头、新三板成长型企业与坚守古法炮炙的区域老字号三种类型。</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东阿阿胶股份有限公司（证券简称：东阿阿胶，股票代码000423.SZ，以下简称“东阿阿胶”或“公司”）前身为1952年建厂的山东东阿阿胶厂，1996年在深圳证券交易所挂牌上市，是阿胶行业首家上市公司，也是目前国内阿胶品类规模最大、品牌影响力最强的龙头企业。公司统一社会信用代码为91371500167854898K，登记机关为聊城市市场监督管理局，企业登记状态为存续（在营）。注册地址为山东省东阿县阿胶街78号。</w:t>
      </w:r>
    </w:p>
    <w:p>
      <w:pPr>
        <w:spacing w:lineRule="exact" w:line="600" w:before="0" w:after="0"/>
        <w:ind w:firstLine="420"/>
        <w:jc w:val="both"/>
      </w:pPr>
      <w:r>
        <w:rPr>
          <w:rFonts w:ascii="仿宋_GB2312" w:hAnsi="仿宋_GB2312" w:eastAsia="仿宋_GB2312"/>
          <w:b w:val="0"/>
          <w:color w:val="000000"/>
          <w:sz w:val="32"/>
        </w:rPr>
        <w:t>公司注册资本64,397.68万元（约6.44亿元），为A股公众公司，股权相对分散但央企华润体系为实际控制人。截至2024年末，公司员工总数为4,095人（同比增长11.34%），人均创收144.59万元、人均创利38.02万元，人员结构与人均效能在中药滋补类上市公司中居于领先。</w:t>
      </w:r>
    </w:p>
    <w:p>
      <w:pPr>
        <w:spacing w:lineRule="exact" w:line="600" w:before="0" w:after="0"/>
        <w:ind w:firstLine="420"/>
        <w:jc w:val="both"/>
      </w:pPr>
      <w:r>
        <w:rPr>
          <w:rFonts w:ascii="仿宋_GB2312" w:hAnsi="仿宋_GB2312" w:eastAsia="仿宋_GB2312"/>
          <w:b w:val="0"/>
          <w:color w:val="000000"/>
          <w:sz w:val="32"/>
        </w:rPr>
        <w:t>经营范围为：阿胶和阿胶系列及其他中成药等产品的研发、生产和销售；许可范围内的保健食品、食品的生产与销售；驴的养殖、屠宰、加工及销售；货物及技术进出口业务等。公司主营业务属医药工业（中成药及滋补保健品），国民经济行业分类为中成药生产（C2740）。</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典型上市公司治理结构，设立股东大会、董事会、监事会及高级管理层。2024年年报披露董事会由9人组成（含独立董事3名），其中程杰、孙金妮、丁红岩等6位非独立董事均来自“华润系”，华润背景董事占比超过六成，充分体现央企控股下的治理特征。公司下设生产、研发、营销、供应链等职能体系，并设东阿阿胶保健品有限公司等子公司。</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1952年，山东东阿阿胶厂建立，确立以阿胶生产为主业的发展方向。1996年，公司改制上市（000423），成为阿胶行业首家上市公司。2019年前后，受终端动销受阻、渠道库存高企等影响，公司出现上市以来首度亏损（2019年亏损约4.4亿元）。</w:t>
      </w:r>
    </w:p>
    <w:p>
      <w:pPr>
        <w:spacing w:lineRule="exact" w:line="600" w:before="0" w:after="0"/>
        <w:ind w:firstLine="420"/>
        <w:jc w:val="both"/>
      </w:pPr>
      <w:r>
        <w:rPr>
          <w:rFonts w:ascii="仿宋_GB2312" w:hAnsi="仿宋_GB2312" w:eastAsia="仿宋_GB2312"/>
          <w:b w:val="0"/>
          <w:color w:val="000000"/>
          <w:sz w:val="32"/>
        </w:rPr>
        <w:t>2019年起，央企华润系深度介入并主导变革：通过价值、业务、组织、精神“四个重塑”，完成高层调整、组织优化、供应链数字化改造与渠道去库存。2020年公司扭亏为盈，此后营收与净利润连续多年实现恢复性增长，2024年盈利创2019年以来新高，完成从“阵痛调整”到“业绩再回春”的蜕变。</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战略定位为“阿胶及滋补健康领域引领者”，坚持“药品+健康消费品”双轮驱动，以阿胶块、复方阿胶浆、桃花姬阿胶糕为核心，并向男士滋补（皇家围场1619）、功能性食品（阿胶速溶粉“小金条”等）与“中药+食品”跨界延伸，构建全生命周期产品矩阵。</w:t>
      </w:r>
    </w:p>
    <w:p>
      <w:pPr>
        <w:spacing w:lineRule="exact" w:line="600" w:before="0" w:after="0"/>
        <w:ind w:firstLine="420"/>
        <w:jc w:val="both"/>
      </w:pPr>
      <w:r>
        <w:rPr>
          <w:rFonts w:ascii="仿宋_GB2312" w:hAnsi="仿宋_GB2312" w:eastAsia="仿宋_GB2312"/>
          <w:b w:val="0"/>
          <w:color w:val="000000"/>
          <w:sz w:val="32"/>
        </w:rPr>
        <w:t>主营业务高度集中于阿胶及系列产品。2025年，阿胶及系列产品收入61.98亿元，占公司主营收入比重达92.50%；医药工业收入65.84亿元，占比98.26%。地区构成上，华东地区收入36.25亿元，占比54.11%，为公司核心市场；华中、华南分别占比15.19%、9.22%。</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收入高度集中于阿胶及系列产品。2024年，阿胶及系列产品收入55.44亿元，同比增长27.04%，占公司主营收入约92%以上；2025年进一步升至61.98亿元，占比92.50%。其余收入来自其他药品及保健品（2025年3.86亿元，占比5.76%）、毛驴养殖及驴肉产品（2025年5,838.62万元，占比0.87%）等。</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第一类为核心阿胶产品，包括东阿阿胶牌阿胶块（OTC大单品、滋补养生龙头）、复方阿胶浆（拓展新适应症、开拓院内市场）、桃花姬阿胶糕（定位高端女性市场）等，是公司品牌与利润的核心承载。</w:t>
      </w:r>
    </w:p>
    <w:p>
      <w:pPr>
        <w:spacing w:lineRule="exact" w:line="600" w:before="0" w:after="0"/>
        <w:ind w:firstLine="420"/>
        <w:jc w:val="both"/>
      </w:pPr>
      <w:r>
        <w:rPr>
          <w:rFonts w:ascii="仿宋_GB2312" w:hAnsi="仿宋_GB2312" w:eastAsia="仿宋_GB2312"/>
          <w:b w:val="0"/>
          <w:color w:val="000000"/>
          <w:sz w:val="32"/>
        </w:rPr>
        <w:t>第二类为男士滋补与新兴健康消费品，包括“皇家围场1619”系列（健脑补肾口服液、龟鹿二仙口服液、海龙胶口服液、龟甲胶、鹿角胶等）、阿胶速溶粉“小金条”、阿胶小分子肽等，面向年轻Z世代与男性健康，推动品牌年轻化。</w:t>
      </w:r>
    </w:p>
    <w:p>
      <w:pPr>
        <w:spacing w:lineRule="exact" w:line="600" w:before="0" w:after="0"/>
        <w:ind w:firstLine="420"/>
        <w:jc w:val="both"/>
      </w:pPr>
      <w:r>
        <w:rPr>
          <w:rFonts w:ascii="仿宋_GB2312" w:hAnsi="仿宋_GB2312" w:eastAsia="仿宋_GB2312"/>
          <w:b w:val="0"/>
          <w:color w:val="000000"/>
          <w:sz w:val="32"/>
        </w:rPr>
        <w:t>第三类为其他药品、保健品及毛驴养殖贸易，其中东阿阿胶保健品有限公司2024年营收达7.50亿元，成为新的增长极；毛驴养殖与贸易则承担阿胶原料（驴皮）保供功能。</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下游客户包括直营药店、经销商、零售连锁与电商（抖音、小红书等新流量阵地贡献主要增量）及部分医疗机构。2024年，公司前五大客户合计销售金额17.66亿元，占年度销售总额29.82%，客户集中度适中。应收账款周转率高达83.28次，反映公司对下游保持极高的话语权与回款效率。</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公司核心采购为驴皮等阿胶原料。2024年，前五名供应商合计采购金额3.89亿元，占年度采购总额30.02%。公司通过华润系支持的驴皮供应链优化，强化原料稳定供应与质量控制，并积极推动全球毛驴产业链价值创造（与中国农业大学共建驴产业创新研究院）。</w:t>
      </w:r>
    </w:p>
    <w:p>
      <w:pPr>
        <w:spacing w:lineRule="exact" w:line="600" w:before="120" w:after="120"/>
        <w:ind w:firstLine="420"/>
        <w:jc w:val="left"/>
      </w:pPr>
      <w:r>
        <w:rPr>
          <w:rFonts w:ascii="楷体_GB2312" w:hAnsi="楷体_GB2312" w:eastAsia="楷体_GB2312"/>
          <w:b w:val="0"/>
          <w:color w:val="000000"/>
          <w:sz w:val="32"/>
        </w:rPr>
        <w:t>（五）产能、资源与牌照</w:t>
      </w:r>
    </w:p>
    <w:p>
      <w:pPr>
        <w:spacing w:lineRule="exact" w:line="600" w:before="0" w:after="0"/>
        <w:ind w:firstLine="420"/>
        <w:jc w:val="both"/>
      </w:pPr>
      <w:r>
        <w:rPr>
          <w:rFonts w:ascii="仿宋_GB2312" w:hAnsi="仿宋_GB2312" w:eastAsia="仿宋_GB2312"/>
          <w:b w:val="0"/>
          <w:color w:val="000000"/>
          <w:sz w:val="32"/>
        </w:rPr>
        <w:t>公司拥有阿胶行业领先的产能与品牌资源，“东阿阿胶”品牌连续多年霸榜滋补类，2024年再登“中国500最具价值品牌榜”。生产端通过供应链数字化改造与智能化、标准化升级提升产能利用率；驴皮库存去化成效显著。公司持有丰富的药品与保健食品文号及GMP资质，构成行业准入与品控壁垒。</w:t>
      </w:r>
    </w:p>
    <w:p>
      <w:pPr>
        <w:spacing w:lineRule="exact" w:line="600" w:before="0" w:after="0"/>
        <w:ind w:firstLine="420"/>
        <w:jc w:val="both"/>
      </w:pPr>
      <w:r>
        <w:rPr>
          <w:rFonts w:ascii="仿宋_GB2312" w:hAnsi="仿宋_GB2312" w:eastAsia="仿宋_GB2312"/>
          <w:b w:val="0"/>
          <w:color w:val="000000"/>
          <w:sz w:val="32"/>
        </w:rPr>
        <w:t>研发方面，公司与江南大学共建研发中心，推进阿胶功效物质基础与新产品开发；2024年研发费用1.74亿元。截至2024年末，公司货币资金及交易性金融资产合计达85.34亿元，资金实力雄厚。</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采取“药品+健康消费品”双轮渠道：药品端依托华润医药商业网络覆盖基层医疗市场，并通过华润系零售网络迅速覆盖更多线下市场；健康消费品端则以天猫、京东、抖音、小红书等新零售与内容电商为主，年轻化营销成效显著。米内网数据显示，2024年前三季度，公司阿胶和复方阿胶浆在中国城市实体药店与网上药店补血中成药排名中均名列前茅。</w:t>
      </w:r>
    </w:p>
    <w:p>
      <w:pPr>
        <w:spacing w:lineRule="exact" w:line="600" w:before="120" w:after="120"/>
        <w:ind w:firstLine="420"/>
        <w:jc w:val="left"/>
      </w:pPr>
      <w:r>
        <w:rPr>
          <w:rFonts w:ascii="楷体_GB2312" w:hAnsi="楷体_GB2312" w:eastAsia="楷体_GB2312"/>
          <w:b w:val="0"/>
          <w:color w:val="000000"/>
          <w:sz w:val="32"/>
        </w:rPr>
        <w:t>（七）经营数据与市场地位</w:t>
      </w:r>
    </w:p>
    <w:p>
      <w:pPr>
        <w:spacing w:lineRule="exact" w:line="600" w:before="0" w:after="0"/>
        <w:ind w:firstLine="420"/>
        <w:jc w:val="both"/>
      </w:pPr>
      <w:r>
        <w:rPr>
          <w:rFonts w:ascii="仿宋_GB2312" w:hAnsi="仿宋_GB2312" w:eastAsia="仿宋_GB2312"/>
          <w:b w:val="0"/>
          <w:color w:val="000000"/>
          <w:sz w:val="32"/>
        </w:rPr>
        <w:t>2024年，公司实现营业收入59.21亿元，归母净利润15.57亿元，期末总资产130.96亿元、归母净资产103.16亿元、货币资金50.15亿元；2025年营收进一步增至67.00亿元，归母净利润17.39亿元（详见第三部分财务分析）。</w:t>
      </w:r>
    </w:p>
    <w:p>
      <w:pPr>
        <w:spacing w:lineRule="exact" w:line="600" w:before="0" w:after="0"/>
        <w:ind w:firstLine="420"/>
        <w:jc w:val="both"/>
      </w:pPr>
      <w:r>
        <w:rPr>
          <w:rFonts w:ascii="仿宋_GB2312" w:hAnsi="仿宋_GB2312" w:eastAsia="仿宋_GB2312"/>
          <w:b w:val="0"/>
          <w:color w:val="000000"/>
          <w:sz w:val="32"/>
        </w:rPr>
        <w:t>市场地位方面，公司系阿胶行业绝对龙头，品牌、规模、渠道与研发综合实力居行业首位，“东阿阿胶”为OTC大单品与滋补养生引领者。公司未公开披露具体市场占有率，但凭营收体量与品牌影响力稳居行业第一梯队。</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（一）近三年主要财务指标</w:t>
      </w:r>
    </w:p>
    <w:p>
      <w:pPr>
        <w:spacing w:lineRule="exact" w:line="600" w:before="0" w:after="0"/>
        <w:ind w:firstLine="420"/>
        <w:jc w:val="both"/>
      </w:pPr>
      <w:r>
        <w:rPr>
          <w:rFonts w:ascii="仿宋_GB2312" w:hAnsi="仿宋_GB2312" w:eastAsia="仿宋_GB2312"/>
          <w:b w:val="0"/>
          <w:color w:val="000000"/>
          <w:sz w:val="32"/>
        </w:rPr>
        <w:t>公司长期披露经审计年度报告，财务数据真实、连续、可核查。下表汇总2022—2025年关键财务指标（金额单位：人民币亿元；比率除外），数据来源为公司年度报告及巨潮资讯网公开信息：</w:t>
      </w:r>
    </w:p>
    <w:tbl>
      <w:tblPr>
        <w:tblStyle w:val="TableGrid"/>
        <w:tblW w:type="auto" w:w="0"/>
        <w:jc w:val="center"/>
        <w:tblLook w:firstColumn="1" w:firstRow="1" w:lastColumn="0" w:lastRow="0" w:noHBand="0" w:noVBand="1" w:val="04A0"/>
      </w:tblPr>
      <w:tblGrid>
        <w:gridCol w:w="1769"/>
        <w:gridCol w:w="1769"/>
        <w:gridCol w:w="1769"/>
        <w:gridCol w:w="1769"/>
        <w:gridCol w:w="1769"/>
      </w:tblGrid>
      <w:tr>
        <w:tc>
          <w:tcPr>
            <w:tcW w:type="dxa" w:w="2381"/>
          </w:tcPr>
          <w:p>
            <w:pPr>
              <w:spacing w:lineRule="exact" w:line="600"/>
              <w:jc w:val="center"/>
            </w:pPr>
            <w:r/>
            <w:r>
              <w:rPr>
                <w:rFonts w:ascii="黑体" w:hAnsi="黑体" w:eastAsia="黑体"/>
                <w:b/>
                <w:color w:val="000000"/>
                <w:sz w:val="32"/>
              </w:rPr>
              <w:t>指标</w:t>
            </w:r>
          </w:p>
        </w:tc>
        <w:tc>
          <w:tcPr>
            <w:tcW w:type="dxa" w:w="1814"/>
          </w:tcPr>
          <w:p>
            <w:pPr>
              <w:spacing w:lineRule="exact" w:line="600"/>
              <w:jc w:val="center"/>
            </w:pPr>
            <w:r/>
            <w:r>
              <w:rPr>
                <w:rFonts w:ascii="黑体" w:hAnsi="黑体" w:eastAsia="黑体"/>
                <w:b/>
                <w:color w:val="000000"/>
                <w:sz w:val="32"/>
              </w:rPr>
              <w:t>2022年</w:t>
            </w:r>
          </w:p>
        </w:tc>
        <w:tc>
          <w:tcPr>
            <w:tcW w:type="dxa" w:w="1814"/>
          </w:tcPr>
          <w:p>
            <w:pPr>
              <w:spacing w:lineRule="exact" w:line="600"/>
              <w:jc w:val="center"/>
            </w:pPr>
            <w:r/>
            <w:r>
              <w:rPr>
                <w:rFonts w:ascii="黑体" w:hAnsi="黑体" w:eastAsia="黑体"/>
                <w:b/>
                <w:color w:val="000000"/>
                <w:sz w:val="32"/>
              </w:rPr>
              <w:t>2023年</w:t>
            </w:r>
          </w:p>
        </w:tc>
        <w:tc>
          <w:tcPr>
            <w:tcW w:type="dxa" w:w="1814"/>
          </w:tcPr>
          <w:p>
            <w:pPr>
              <w:spacing w:lineRule="exact" w:line="600"/>
              <w:jc w:val="center"/>
            </w:pPr>
            <w:r/>
            <w:r>
              <w:rPr>
                <w:rFonts w:ascii="黑体" w:hAnsi="黑体" w:eastAsia="黑体"/>
                <w:b/>
                <w:color w:val="000000"/>
                <w:sz w:val="32"/>
              </w:rPr>
              <w:t>2024年</w:t>
            </w:r>
          </w:p>
        </w:tc>
        <w:tc>
          <w:tcPr>
            <w:tcW w:type="dxa" w:w="1814"/>
          </w:tcPr>
          <w:p>
            <w:pPr>
              <w:spacing w:lineRule="exact" w:line="600"/>
              <w:jc w:val="center"/>
            </w:pPr>
            <w:r/>
            <w:r>
              <w:rPr>
                <w:rFonts w:ascii="黑体" w:hAnsi="黑体" w:eastAsia="黑体"/>
                <w:b/>
                <w:color w:val="000000"/>
                <w:sz w:val="32"/>
              </w:rPr>
              <w:t>2025年</w:t>
            </w:r>
          </w:p>
        </w:tc>
      </w:tr>
      <w:tr>
        <w:tc>
          <w:tcPr>
            <w:tcW w:type="dxa" w:w="2381"/>
          </w:tcPr>
          <w:p>
            <w:pPr>
              <w:spacing w:lineRule="exact" w:line="600"/>
              <w:jc w:val="center"/>
            </w:pPr>
            <w:r/>
            <w:r>
              <w:rPr>
                <w:rFonts w:ascii="仿宋_GB2312" w:hAnsi="仿宋_GB2312" w:eastAsia="仿宋_GB2312"/>
                <w:b w:val="0"/>
                <w:color w:val="000000"/>
                <w:sz w:val="32"/>
              </w:rPr>
              <w:t>营业收入</w:t>
            </w:r>
          </w:p>
        </w:tc>
        <w:tc>
          <w:tcPr>
            <w:tcW w:type="dxa" w:w="1814"/>
          </w:tcPr>
          <w:p>
            <w:pPr>
              <w:spacing w:lineRule="exact" w:line="600"/>
              <w:jc w:val="center"/>
            </w:pPr>
            <w:r/>
            <w:r>
              <w:rPr>
                <w:rFonts w:ascii="仿宋_GB2312" w:hAnsi="仿宋_GB2312" w:eastAsia="仿宋_GB2312"/>
                <w:b w:val="0"/>
                <w:color w:val="000000"/>
                <w:sz w:val="32"/>
              </w:rPr>
              <w:t>40.42</w:t>
            </w:r>
          </w:p>
        </w:tc>
        <w:tc>
          <w:tcPr>
            <w:tcW w:type="dxa" w:w="1814"/>
          </w:tcPr>
          <w:p>
            <w:pPr>
              <w:spacing w:lineRule="exact" w:line="600"/>
              <w:jc w:val="center"/>
            </w:pPr>
            <w:r/>
            <w:r>
              <w:rPr>
                <w:rFonts w:ascii="仿宋_GB2312" w:hAnsi="仿宋_GB2312" w:eastAsia="仿宋_GB2312"/>
                <w:b w:val="0"/>
                <w:color w:val="000000"/>
                <w:sz w:val="32"/>
              </w:rPr>
              <w:t>47.15</w:t>
            </w:r>
          </w:p>
        </w:tc>
        <w:tc>
          <w:tcPr>
            <w:tcW w:type="dxa" w:w="1814"/>
          </w:tcPr>
          <w:p>
            <w:pPr>
              <w:spacing w:lineRule="exact" w:line="600"/>
              <w:jc w:val="center"/>
            </w:pPr>
            <w:r/>
            <w:r>
              <w:rPr>
                <w:rFonts w:ascii="仿宋_GB2312" w:hAnsi="仿宋_GB2312" w:eastAsia="仿宋_GB2312"/>
                <w:b w:val="0"/>
                <w:color w:val="000000"/>
                <w:sz w:val="32"/>
              </w:rPr>
              <w:t>59.21</w:t>
            </w:r>
          </w:p>
        </w:tc>
        <w:tc>
          <w:tcPr>
            <w:tcW w:type="dxa" w:w="1814"/>
          </w:tcPr>
          <w:p>
            <w:pPr>
              <w:spacing w:lineRule="exact" w:line="600"/>
              <w:jc w:val="center"/>
            </w:pPr>
            <w:r/>
            <w:r>
              <w:rPr>
                <w:rFonts w:ascii="仿宋_GB2312" w:hAnsi="仿宋_GB2312" w:eastAsia="仿宋_GB2312"/>
                <w:b w:val="0"/>
                <w:color w:val="000000"/>
                <w:sz w:val="32"/>
              </w:rPr>
              <w:t>67.00</w:t>
            </w:r>
          </w:p>
        </w:tc>
      </w:tr>
      <w:tr>
        <w:tc>
          <w:tcPr>
            <w:tcW w:type="dxa" w:w="2381"/>
          </w:tcPr>
          <w:p>
            <w:pPr>
              <w:spacing w:lineRule="exact" w:line="600"/>
              <w:jc w:val="center"/>
            </w:pPr>
            <w:r/>
            <w:r>
              <w:rPr>
                <w:rFonts w:ascii="仿宋_GB2312" w:hAnsi="仿宋_GB2312" w:eastAsia="仿宋_GB2312"/>
                <w:b w:val="0"/>
                <w:color w:val="000000"/>
                <w:sz w:val="32"/>
              </w:rPr>
              <w:t>归母净利润</w:t>
            </w:r>
          </w:p>
        </w:tc>
        <w:tc>
          <w:tcPr>
            <w:tcW w:type="dxa" w:w="1814"/>
          </w:tcPr>
          <w:p>
            <w:pPr>
              <w:spacing w:lineRule="exact" w:line="600"/>
              <w:jc w:val="center"/>
            </w:pPr>
            <w:r/>
            <w:r>
              <w:rPr>
                <w:rFonts w:ascii="仿宋_GB2312" w:hAnsi="仿宋_GB2312" w:eastAsia="仿宋_GB2312"/>
                <w:b w:val="0"/>
                <w:color w:val="000000"/>
                <w:sz w:val="32"/>
              </w:rPr>
              <w:t>7.80</w:t>
            </w:r>
          </w:p>
        </w:tc>
        <w:tc>
          <w:tcPr>
            <w:tcW w:type="dxa" w:w="1814"/>
          </w:tcPr>
          <w:p>
            <w:pPr>
              <w:spacing w:lineRule="exact" w:line="600"/>
              <w:jc w:val="center"/>
            </w:pPr>
            <w:r/>
            <w:r>
              <w:rPr>
                <w:rFonts w:ascii="仿宋_GB2312" w:hAnsi="仿宋_GB2312" w:eastAsia="仿宋_GB2312"/>
                <w:b w:val="0"/>
                <w:color w:val="000000"/>
                <w:sz w:val="32"/>
              </w:rPr>
              <w:t>11.51</w:t>
            </w:r>
          </w:p>
        </w:tc>
        <w:tc>
          <w:tcPr>
            <w:tcW w:type="dxa" w:w="1814"/>
          </w:tcPr>
          <w:p>
            <w:pPr>
              <w:spacing w:lineRule="exact" w:line="600"/>
              <w:jc w:val="center"/>
            </w:pPr>
            <w:r/>
            <w:r>
              <w:rPr>
                <w:rFonts w:ascii="仿宋_GB2312" w:hAnsi="仿宋_GB2312" w:eastAsia="仿宋_GB2312"/>
                <w:b w:val="0"/>
                <w:color w:val="000000"/>
                <w:sz w:val="32"/>
              </w:rPr>
              <w:t>15.57</w:t>
            </w:r>
          </w:p>
        </w:tc>
        <w:tc>
          <w:tcPr>
            <w:tcW w:type="dxa" w:w="1814"/>
          </w:tcPr>
          <w:p>
            <w:pPr>
              <w:spacing w:lineRule="exact" w:line="600"/>
              <w:jc w:val="center"/>
            </w:pPr>
            <w:r/>
            <w:r>
              <w:rPr>
                <w:rFonts w:ascii="仿宋_GB2312" w:hAnsi="仿宋_GB2312" w:eastAsia="仿宋_GB2312"/>
                <w:b w:val="0"/>
                <w:color w:val="000000"/>
                <w:sz w:val="32"/>
              </w:rPr>
              <w:t>17.39</w:t>
            </w:r>
          </w:p>
        </w:tc>
      </w:tr>
      <w:tr>
        <w:tc>
          <w:tcPr>
            <w:tcW w:type="dxa" w:w="2381"/>
          </w:tcPr>
          <w:p>
            <w:pPr>
              <w:spacing w:lineRule="exact" w:line="600"/>
              <w:jc w:val="center"/>
            </w:pPr>
            <w:r/>
            <w:r>
              <w:rPr>
                <w:rFonts w:ascii="仿宋_GB2312" w:hAnsi="仿宋_GB2312" w:eastAsia="仿宋_GB2312"/>
                <w:b w:val="0"/>
                <w:color w:val="000000"/>
                <w:sz w:val="32"/>
              </w:rPr>
              <w:t>扣非净利润</w:t>
            </w:r>
          </w:p>
        </w:tc>
        <w:tc>
          <w:tcPr>
            <w:tcW w:type="dxa" w:w="1814"/>
          </w:tcPr>
          <w:p>
            <w:pPr>
              <w:spacing w:lineRule="exact" w:line="600"/>
              <w:jc w:val="center"/>
            </w:pPr>
            <w:r/>
            <w:r>
              <w:rPr>
                <w:rFonts w:ascii="仿宋_GB2312" w:hAnsi="仿宋_GB2312" w:eastAsia="仿宋_GB2312"/>
                <w:b w:val="0"/>
                <w:color w:val="000000"/>
                <w:sz w:val="32"/>
              </w:rPr>
              <w:t>—</w:t>
            </w:r>
          </w:p>
        </w:tc>
        <w:tc>
          <w:tcPr>
            <w:tcW w:type="dxa" w:w="1814"/>
          </w:tcPr>
          <w:p>
            <w:pPr>
              <w:spacing w:lineRule="exact" w:line="600"/>
              <w:jc w:val="center"/>
            </w:pPr>
            <w:r/>
            <w:r>
              <w:rPr>
                <w:rFonts w:ascii="仿宋_GB2312" w:hAnsi="仿宋_GB2312" w:eastAsia="仿宋_GB2312"/>
                <w:b w:val="0"/>
                <w:color w:val="000000"/>
                <w:sz w:val="32"/>
              </w:rPr>
              <w:t>—</w:t>
            </w:r>
          </w:p>
        </w:tc>
        <w:tc>
          <w:tcPr>
            <w:tcW w:type="dxa" w:w="1814"/>
          </w:tcPr>
          <w:p>
            <w:pPr>
              <w:spacing w:lineRule="exact" w:line="600"/>
              <w:jc w:val="center"/>
            </w:pPr>
            <w:r/>
            <w:r>
              <w:rPr>
                <w:rFonts w:ascii="仿宋_GB2312" w:hAnsi="仿宋_GB2312" w:eastAsia="仿宋_GB2312"/>
                <w:b w:val="0"/>
                <w:color w:val="000000"/>
                <w:sz w:val="32"/>
              </w:rPr>
              <w:t>14.42</w:t>
            </w:r>
          </w:p>
        </w:tc>
        <w:tc>
          <w:tcPr>
            <w:tcW w:type="dxa" w:w="1814"/>
          </w:tcPr>
          <w:p>
            <w:pPr>
              <w:spacing w:lineRule="exact" w:line="600"/>
              <w:jc w:val="center"/>
            </w:pPr>
            <w:r/>
            <w:r>
              <w:rPr>
                <w:rFonts w:ascii="仿宋_GB2312" w:hAnsi="仿宋_GB2312" w:eastAsia="仿宋_GB2312"/>
                <w:b w:val="0"/>
                <w:color w:val="000000"/>
                <w:sz w:val="32"/>
              </w:rPr>
              <w:t>（未单列）</w:t>
            </w:r>
          </w:p>
        </w:tc>
      </w:tr>
      <w:tr>
        <w:tc>
          <w:tcPr>
            <w:tcW w:type="dxa" w:w="2381"/>
          </w:tcPr>
          <w:p>
            <w:pPr>
              <w:spacing w:lineRule="exact" w:line="600"/>
              <w:jc w:val="center"/>
            </w:pPr>
            <w:r/>
            <w:r>
              <w:rPr>
                <w:rFonts w:ascii="仿宋_GB2312" w:hAnsi="仿宋_GB2312" w:eastAsia="仿宋_GB2312"/>
                <w:b w:val="0"/>
                <w:color w:val="000000"/>
                <w:sz w:val="32"/>
              </w:rPr>
              <w:t>基本EPS(元)</w:t>
            </w:r>
          </w:p>
        </w:tc>
        <w:tc>
          <w:tcPr>
            <w:tcW w:type="dxa" w:w="1814"/>
          </w:tcPr>
          <w:p>
            <w:pPr>
              <w:spacing w:lineRule="exact" w:line="600"/>
              <w:jc w:val="center"/>
            </w:pPr>
            <w:r/>
            <w:r>
              <w:rPr>
                <w:rFonts w:ascii="仿宋_GB2312" w:hAnsi="仿宋_GB2312" w:eastAsia="仿宋_GB2312"/>
                <w:b w:val="0"/>
                <w:color w:val="000000"/>
                <w:sz w:val="32"/>
              </w:rPr>
              <w:t>1.21</w:t>
            </w:r>
          </w:p>
        </w:tc>
        <w:tc>
          <w:tcPr>
            <w:tcW w:type="dxa" w:w="1814"/>
          </w:tcPr>
          <w:p>
            <w:pPr>
              <w:spacing w:lineRule="exact" w:line="600"/>
              <w:jc w:val="center"/>
            </w:pPr>
            <w:r/>
            <w:r>
              <w:rPr>
                <w:rFonts w:ascii="仿宋_GB2312" w:hAnsi="仿宋_GB2312" w:eastAsia="仿宋_GB2312"/>
                <w:b w:val="0"/>
                <w:color w:val="000000"/>
                <w:sz w:val="32"/>
              </w:rPr>
              <w:t>1.79</w:t>
            </w:r>
          </w:p>
        </w:tc>
        <w:tc>
          <w:tcPr>
            <w:tcW w:type="dxa" w:w="1814"/>
          </w:tcPr>
          <w:p>
            <w:pPr>
              <w:spacing w:lineRule="exact" w:line="600"/>
              <w:jc w:val="center"/>
            </w:pPr>
            <w:r/>
            <w:r>
              <w:rPr>
                <w:rFonts w:ascii="仿宋_GB2312" w:hAnsi="仿宋_GB2312" w:eastAsia="仿宋_GB2312"/>
                <w:b w:val="0"/>
                <w:color w:val="000000"/>
                <w:sz w:val="32"/>
              </w:rPr>
              <w:t>2.42</w:t>
            </w:r>
          </w:p>
        </w:tc>
        <w:tc>
          <w:tcPr>
            <w:tcW w:type="dxa" w:w="1814"/>
          </w:tcPr>
          <w:p>
            <w:pPr>
              <w:spacing w:lineRule="exact" w:line="600"/>
              <w:jc w:val="center"/>
            </w:pPr>
            <w:r/>
            <w:r>
              <w:rPr>
                <w:rFonts w:ascii="仿宋_GB2312" w:hAnsi="仿宋_GB2312" w:eastAsia="仿宋_GB2312"/>
                <w:b w:val="0"/>
                <w:color w:val="000000"/>
                <w:sz w:val="32"/>
              </w:rPr>
              <w:t>2.70</w:t>
            </w:r>
          </w:p>
        </w:tc>
      </w:tr>
      <w:tr>
        <w:tc>
          <w:tcPr>
            <w:tcW w:type="dxa" w:w="2381"/>
          </w:tcPr>
          <w:p>
            <w:pPr>
              <w:spacing w:lineRule="exact" w:line="600"/>
              <w:jc w:val="center"/>
            </w:pPr>
            <w:r/>
            <w:r>
              <w:rPr>
                <w:rFonts w:ascii="仿宋_GB2312" w:hAnsi="仿宋_GB2312" w:eastAsia="仿宋_GB2312"/>
                <w:b w:val="0"/>
                <w:color w:val="000000"/>
                <w:sz w:val="32"/>
              </w:rPr>
              <w:t>销售毛利率</w:t>
            </w:r>
          </w:p>
        </w:tc>
        <w:tc>
          <w:tcPr>
            <w:tcW w:type="dxa" w:w="1814"/>
          </w:tcPr>
          <w:p>
            <w:pPr>
              <w:spacing w:lineRule="exact" w:line="600"/>
              <w:jc w:val="center"/>
            </w:pPr>
            <w:r/>
            <w:r>
              <w:rPr>
                <w:rFonts w:ascii="仿宋_GB2312" w:hAnsi="仿宋_GB2312" w:eastAsia="仿宋_GB2312"/>
                <w:b w:val="0"/>
                <w:color w:val="000000"/>
                <w:sz w:val="32"/>
              </w:rPr>
              <w:t>68.30%</w:t>
            </w:r>
          </w:p>
        </w:tc>
        <w:tc>
          <w:tcPr>
            <w:tcW w:type="dxa" w:w="1814"/>
          </w:tcPr>
          <w:p>
            <w:pPr>
              <w:spacing w:lineRule="exact" w:line="600"/>
              <w:jc w:val="center"/>
            </w:pPr>
            <w:r/>
            <w:r>
              <w:rPr>
                <w:rFonts w:ascii="仿宋_GB2312" w:hAnsi="仿宋_GB2312" w:eastAsia="仿宋_GB2312"/>
                <w:b w:val="0"/>
                <w:color w:val="000000"/>
                <w:sz w:val="32"/>
              </w:rPr>
              <w:t>70.24%</w:t>
            </w:r>
          </w:p>
        </w:tc>
        <w:tc>
          <w:tcPr>
            <w:tcW w:type="dxa" w:w="1814"/>
          </w:tcPr>
          <w:p>
            <w:pPr>
              <w:spacing w:lineRule="exact" w:line="600"/>
              <w:jc w:val="center"/>
            </w:pPr>
            <w:r/>
            <w:r>
              <w:rPr>
                <w:rFonts w:ascii="仿宋_GB2312" w:hAnsi="仿宋_GB2312" w:eastAsia="仿宋_GB2312"/>
                <w:b w:val="0"/>
                <w:color w:val="000000"/>
                <w:sz w:val="32"/>
              </w:rPr>
              <w:t>72.42%</w:t>
            </w:r>
          </w:p>
        </w:tc>
        <w:tc>
          <w:tcPr>
            <w:tcW w:type="dxa" w:w="1814"/>
          </w:tcPr>
          <w:p>
            <w:pPr>
              <w:spacing w:lineRule="exact" w:line="600"/>
              <w:jc w:val="center"/>
            </w:pPr>
            <w:r/>
            <w:r>
              <w:rPr>
                <w:rFonts w:ascii="仿宋_GB2312" w:hAnsi="仿宋_GB2312" w:eastAsia="仿宋_GB2312"/>
                <w:b w:val="0"/>
                <w:color w:val="000000"/>
                <w:sz w:val="32"/>
              </w:rPr>
              <w:t>73.47%</w:t>
            </w:r>
          </w:p>
        </w:tc>
      </w:tr>
      <w:tr>
        <w:tc>
          <w:tcPr>
            <w:tcW w:type="dxa" w:w="2381"/>
          </w:tcPr>
          <w:p>
            <w:pPr>
              <w:spacing w:lineRule="exact" w:line="600"/>
              <w:jc w:val="center"/>
            </w:pPr>
            <w:r/>
            <w:r>
              <w:rPr>
                <w:rFonts w:ascii="仿宋_GB2312" w:hAnsi="仿宋_GB2312" w:eastAsia="仿宋_GB2312"/>
                <w:b w:val="0"/>
                <w:color w:val="000000"/>
                <w:sz w:val="32"/>
              </w:rPr>
              <w:t>资产负债率</w:t>
            </w:r>
          </w:p>
        </w:tc>
        <w:tc>
          <w:tcPr>
            <w:tcW w:type="dxa" w:w="1814"/>
          </w:tcPr>
          <w:p>
            <w:pPr>
              <w:spacing w:lineRule="exact" w:line="600"/>
              <w:jc w:val="center"/>
            </w:pPr>
            <w:r/>
            <w:r>
              <w:rPr>
                <w:rFonts w:ascii="仿宋_GB2312" w:hAnsi="仿宋_GB2312" w:eastAsia="仿宋_GB2312"/>
                <w:b w:val="0"/>
                <w:color w:val="000000"/>
                <w:sz w:val="32"/>
              </w:rPr>
              <w:t>18.05%</w:t>
            </w:r>
          </w:p>
        </w:tc>
        <w:tc>
          <w:tcPr>
            <w:tcW w:type="dxa" w:w="1814"/>
          </w:tcPr>
          <w:p>
            <w:pPr>
              <w:spacing w:lineRule="exact" w:line="600"/>
              <w:jc w:val="center"/>
            </w:pPr>
            <w:r/>
            <w:r>
              <w:rPr>
                <w:rFonts w:ascii="仿宋_GB2312" w:hAnsi="仿宋_GB2312" w:eastAsia="仿宋_GB2312"/>
                <w:b w:val="0"/>
                <w:color w:val="000000"/>
                <w:sz w:val="32"/>
              </w:rPr>
              <w:t>19.28%</w:t>
            </w:r>
          </w:p>
        </w:tc>
        <w:tc>
          <w:tcPr>
            <w:tcW w:type="dxa" w:w="1814"/>
          </w:tcPr>
          <w:p>
            <w:pPr>
              <w:spacing w:lineRule="exact" w:line="600"/>
              <w:jc w:val="center"/>
            </w:pPr>
            <w:r/>
            <w:r>
              <w:rPr>
                <w:rFonts w:ascii="仿宋_GB2312" w:hAnsi="仿宋_GB2312" w:eastAsia="仿宋_GB2312"/>
                <w:b w:val="0"/>
                <w:color w:val="000000"/>
                <w:sz w:val="32"/>
              </w:rPr>
              <w:t>21.05%</w:t>
            </w:r>
          </w:p>
        </w:tc>
        <w:tc>
          <w:tcPr>
            <w:tcW w:type="dxa" w:w="1814"/>
          </w:tcPr>
          <w:p>
            <w:pPr>
              <w:spacing w:lineRule="exact" w:line="600"/>
              <w:jc w:val="center"/>
            </w:pPr>
            <w:r/>
            <w:r>
              <w:rPr>
                <w:rFonts w:ascii="仿宋_GB2312" w:hAnsi="仿宋_GB2312" w:eastAsia="仿宋_GB2312"/>
                <w:b w:val="0"/>
                <w:color w:val="000000"/>
                <w:sz w:val="32"/>
              </w:rPr>
              <w:t>22.55%</w:t>
            </w:r>
          </w:p>
        </w:tc>
      </w:tr>
      <w:tr>
        <w:tc>
          <w:tcPr>
            <w:tcW w:type="dxa" w:w="2381"/>
          </w:tcPr>
          <w:p>
            <w:pPr>
              <w:spacing w:lineRule="exact" w:line="600"/>
              <w:jc w:val="center"/>
            </w:pPr>
            <w:r/>
            <w:r>
              <w:rPr>
                <w:rFonts w:ascii="仿宋_GB2312" w:hAnsi="仿宋_GB2312" w:eastAsia="仿宋_GB2312"/>
                <w:b w:val="0"/>
                <w:color w:val="000000"/>
                <w:sz w:val="32"/>
              </w:rPr>
              <w:t>加权ROE</w:t>
            </w:r>
          </w:p>
        </w:tc>
        <w:tc>
          <w:tcPr>
            <w:tcW w:type="dxa" w:w="1814"/>
          </w:tcPr>
          <w:p>
            <w:pPr>
              <w:spacing w:lineRule="exact" w:line="600"/>
              <w:jc w:val="center"/>
            </w:pPr>
            <w:r/>
            <w:r>
              <w:rPr>
                <w:rFonts w:ascii="仿宋_GB2312" w:hAnsi="仿宋_GB2312" w:eastAsia="仿宋_GB2312"/>
                <w:b w:val="0"/>
                <w:color w:val="000000"/>
                <w:sz w:val="32"/>
              </w:rPr>
              <w:t>7.68%</w:t>
            </w:r>
          </w:p>
        </w:tc>
        <w:tc>
          <w:tcPr>
            <w:tcW w:type="dxa" w:w="1814"/>
          </w:tcPr>
          <w:p>
            <w:pPr>
              <w:spacing w:lineRule="exact" w:line="600"/>
              <w:jc w:val="center"/>
            </w:pPr>
            <w:r/>
            <w:r>
              <w:rPr>
                <w:rFonts w:ascii="仿宋_GB2312" w:hAnsi="仿宋_GB2312" w:eastAsia="仿宋_GB2312"/>
                <w:b w:val="0"/>
                <w:color w:val="000000"/>
                <w:sz w:val="32"/>
              </w:rPr>
              <w:t>11.12%</w:t>
            </w:r>
          </w:p>
        </w:tc>
        <w:tc>
          <w:tcPr>
            <w:tcW w:type="dxa" w:w="1814"/>
          </w:tcPr>
          <w:p>
            <w:pPr>
              <w:spacing w:lineRule="exact" w:line="600"/>
              <w:jc w:val="center"/>
            </w:pPr>
            <w:r/>
            <w:r>
              <w:rPr>
                <w:rFonts w:ascii="仿宋_GB2312" w:hAnsi="仿宋_GB2312" w:eastAsia="仿宋_GB2312"/>
                <w:b w:val="0"/>
                <w:color w:val="000000"/>
                <w:sz w:val="32"/>
              </w:rPr>
              <w:t>14.60%</w:t>
            </w:r>
          </w:p>
        </w:tc>
        <w:tc>
          <w:tcPr>
            <w:tcW w:type="dxa" w:w="1814"/>
          </w:tcPr>
          <w:p>
            <w:pPr>
              <w:spacing w:lineRule="exact" w:line="600"/>
              <w:jc w:val="center"/>
            </w:pPr>
            <w:r/>
            <w:r>
              <w:rPr>
                <w:rFonts w:ascii="仿宋_GB2312" w:hAnsi="仿宋_GB2312" w:eastAsia="仿宋_GB2312"/>
                <w:b w:val="0"/>
                <w:color w:val="000000"/>
                <w:sz w:val="32"/>
              </w:rPr>
              <w:t>16.66%</w:t>
            </w:r>
          </w:p>
        </w:tc>
      </w:tr>
      <w:tr>
        <w:tc>
          <w:tcPr>
            <w:tcW w:type="dxa" w:w="2381"/>
          </w:tcPr>
          <w:p>
            <w:pPr>
              <w:spacing w:lineRule="exact" w:line="600"/>
              <w:jc w:val="center"/>
            </w:pPr>
            <w:r/>
            <w:r>
              <w:rPr>
                <w:rFonts w:ascii="仿宋_GB2312" w:hAnsi="仿宋_GB2312" w:eastAsia="仿宋_GB2312"/>
                <w:b w:val="0"/>
                <w:color w:val="000000"/>
                <w:sz w:val="32"/>
              </w:rPr>
              <w:t>经营现金流净额</w:t>
            </w:r>
          </w:p>
        </w:tc>
        <w:tc>
          <w:tcPr>
            <w:tcW w:type="dxa" w:w="1814"/>
          </w:tcPr>
          <w:p>
            <w:pPr>
              <w:spacing w:lineRule="exact" w:line="600"/>
              <w:jc w:val="center"/>
            </w:pPr>
            <w:r/>
            <w:r>
              <w:rPr>
                <w:rFonts w:ascii="仿宋_GB2312" w:hAnsi="仿宋_GB2312" w:eastAsia="仿宋_GB2312"/>
                <w:b w:val="0"/>
                <w:color w:val="000000"/>
                <w:sz w:val="32"/>
              </w:rPr>
              <w:t>—</w:t>
            </w:r>
          </w:p>
        </w:tc>
        <w:tc>
          <w:tcPr>
            <w:tcW w:type="dxa" w:w="1814"/>
          </w:tcPr>
          <w:p>
            <w:pPr>
              <w:spacing w:lineRule="exact" w:line="600"/>
              <w:jc w:val="center"/>
            </w:pPr>
            <w:r/>
            <w:r>
              <w:rPr>
                <w:rFonts w:ascii="仿宋_GB2312" w:hAnsi="仿宋_GB2312" w:eastAsia="仿宋_GB2312"/>
                <w:b w:val="0"/>
                <w:color w:val="000000"/>
                <w:sz w:val="32"/>
              </w:rPr>
              <w:t>—</w:t>
            </w:r>
          </w:p>
        </w:tc>
        <w:tc>
          <w:tcPr>
            <w:tcW w:type="dxa" w:w="1814"/>
          </w:tcPr>
          <w:p>
            <w:pPr>
              <w:spacing w:lineRule="exact" w:line="600"/>
              <w:jc w:val="center"/>
            </w:pPr>
            <w:r/>
            <w:r>
              <w:rPr>
                <w:rFonts w:ascii="仿宋_GB2312" w:hAnsi="仿宋_GB2312" w:eastAsia="仿宋_GB2312"/>
                <w:b w:val="0"/>
                <w:color w:val="000000"/>
                <w:sz w:val="32"/>
              </w:rPr>
              <w:t>21.71</w:t>
            </w:r>
          </w:p>
        </w:tc>
        <w:tc>
          <w:tcPr>
            <w:tcW w:type="dxa" w:w="1814"/>
          </w:tcPr>
          <w:p>
            <w:pPr>
              <w:spacing w:lineRule="exact" w:line="600"/>
              <w:jc w:val="center"/>
            </w:pPr>
            <w:r/>
            <w:r>
              <w:rPr>
                <w:rFonts w:ascii="仿宋_GB2312" w:hAnsi="仿宋_GB2312" w:eastAsia="仿宋_GB2312"/>
                <w:b w:val="0"/>
                <w:color w:val="000000"/>
                <w:sz w:val="32"/>
              </w:rPr>
              <w:t>22.89</w:t>
            </w:r>
          </w:p>
        </w:tc>
      </w:tr>
      <w:tr>
        <w:tc>
          <w:tcPr>
            <w:tcW w:type="dxa" w:w="2381"/>
          </w:tcPr>
          <w:p>
            <w:pPr>
              <w:spacing w:lineRule="exact" w:line="600"/>
              <w:jc w:val="center"/>
            </w:pPr>
            <w:r/>
            <w:r>
              <w:rPr>
                <w:rFonts w:ascii="仿宋_GB2312" w:hAnsi="仿宋_GB2312" w:eastAsia="仿宋_GB2312"/>
                <w:b w:val="0"/>
                <w:color w:val="000000"/>
                <w:sz w:val="32"/>
              </w:rPr>
              <w:t>期末总资产</w:t>
            </w:r>
          </w:p>
        </w:tc>
        <w:tc>
          <w:tcPr>
            <w:tcW w:type="dxa" w:w="1814"/>
          </w:tcPr>
          <w:p>
            <w:pPr>
              <w:spacing w:lineRule="exact" w:line="600"/>
              <w:jc w:val="center"/>
            </w:pPr>
            <w:r/>
            <w:r>
              <w:rPr>
                <w:rFonts w:ascii="仿宋_GB2312" w:hAnsi="仿宋_GB2312" w:eastAsia="仿宋_GB2312"/>
                <w:b w:val="0"/>
                <w:color w:val="000000"/>
                <w:sz w:val="32"/>
              </w:rPr>
              <w:t>—</w:t>
            </w:r>
          </w:p>
        </w:tc>
        <w:tc>
          <w:tcPr>
            <w:tcW w:type="dxa" w:w="1814"/>
          </w:tcPr>
          <w:p>
            <w:pPr>
              <w:spacing w:lineRule="exact" w:line="600"/>
              <w:jc w:val="center"/>
            </w:pPr>
            <w:r/>
            <w:r>
              <w:rPr>
                <w:rFonts w:ascii="仿宋_GB2312" w:hAnsi="仿宋_GB2312" w:eastAsia="仿宋_GB2312"/>
                <w:b w:val="0"/>
                <w:color w:val="000000"/>
                <w:sz w:val="32"/>
              </w:rPr>
              <w:t>—</w:t>
            </w:r>
          </w:p>
        </w:tc>
        <w:tc>
          <w:tcPr>
            <w:tcW w:type="dxa" w:w="1814"/>
          </w:tcPr>
          <w:p>
            <w:pPr>
              <w:spacing w:lineRule="exact" w:line="600"/>
              <w:jc w:val="center"/>
            </w:pPr>
            <w:r/>
            <w:r>
              <w:rPr>
                <w:rFonts w:ascii="仿宋_GB2312" w:hAnsi="仿宋_GB2312" w:eastAsia="仿宋_GB2312"/>
                <w:b w:val="0"/>
                <w:color w:val="000000"/>
                <w:sz w:val="32"/>
              </w:rPr>
              <w:t>130.96</w:t>
            </w:r>
          </w:p>
        </w:tc>
        <w:tc>
          <w:tcPr>
            <w:tcW w:type="dxa" w:w="1814"/>
          </w:tcPr>
          <w:p>
            <w:pPr>
              <w:spacing w:lineRule="exact" w:line="600"/>
              <w:jc w:val="center"/>
            </w:pPr>
            <w:r/>
            <w:r>
              <w:rPr>
                <w:rFonts w:ascii="仿宋_GB2312" w:hAnsi="仿宋_GB2312" w:eastAsia="仿宋_GB2312"/>
                <w:b w:val="0"/>
                <w:color w:val="000000"/>
                <w:sz w:val="32"/>
              </w:rPr>
              <w:t>133.81</w:t>
            </w:r>
          </w:p>
        </w:tc>
      </w:tr>
    </w:tbl>
    <w:p>
      <w:pPr>
        <w:spacing w:lineRule="exact" w:line="600" w:before="0" w:after="0"/>
        <w:ind w:firstLine="420"/>
        <w:jc w:val="both"/>
      </w:pPr>
      <w:r>
        <w:rPr>
          <w:rFonts w:ascii="仿宋_GB2312" w:hAnsi="仿宋_GB2312" w:eastAsia="仿宋_GB2312"/>
          <w:b w:val="0"/>
          <w:color w:val="000000"/>
          <w:sz w:val="32"/>
        </w:rPr>
        <w:t>说明：2024年营业收入，公司年报摘要及证券日报、上海证券报、中国证券报等主流证券媒体统一披露为59.21亿元（同比增长25.57%）；部分财经数据平台按合并“营业总收入”口径列示为61.57亿元。本报告以公司年报摘要披露的59.21亿元为准。2025年数据来自2025年年度报告（截至2025-12-31，2026年3月披露）。</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公司盈利能力持续走强且量价齐升：营业收入由2022年40.42亿元增至2025年67.00亿元，三年复合增长率约18.35%；归母净利润由7.80亿元增至17.39亿元，三年复合增长率约30.63%。销售毛利率由2020年的55%攀升至2024年的72.42%、2025年进一步达73.47%，创近十年新高，主要得益于供应链数字化改造、聚焦高毛利产品与驴皮库存去化。</w:t>
      </w:r>
    </w:p>
    <w:p>
      <w:pPr>
        <w:spacing w:lineRule="exact" w:line="600" w:before="0" w:after="0"/>
        <w:ind w:firstLine="420"/>
        <w:jc w:val="both"/>
      </w:pPr>
      <w:r>
        <w:rPr>
          <w:rFonts w:ascii="仿宋_GB2312" w:hAnsi="仿宋_GB2312" w:eastAsia="仿宋_GB2312"/>
          <w:b w:val="0"/>
          <w:color w:val="000000"/>
          <w:sz w:val="32"/>
        </w:rPr>
        <w:t>费用端，2024年销售费用19.73亿元（同比增长32.77%，系加大品牌推广投入），销售费用率由2019年的44.85%降至33.32%，低于行业平均；管理费用4.46亿元，财务费用-1.18亿元（净利息收入），研发费用1.74亿元，费用结构持续优化。</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公司资产质量优异、结构稳健。截至2024年末，总资产130.96亿元，其中货币资金50.15亿元、交易性金融资产等合计货币类资产85.34亿元，资产高度“现金化”；应收账款仅7,919.87万元、存货9.26亿元，应收账款周转率83.28次、存货周转率1.68次，营运效率突出。2025年末总资产升至133.81亿元，资产实力进一步增强。</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公司负债水平极低、偿债无虞。2024年末资产负债率21.05%，总负债27.55亿元，其中有息负债仅3,919.67万元、有息负债率1.42%；流动比率3.95、速动比率3.59，现金比率336.59%，无任何偿债压力。2025年末资产负债率微升至22.55%，仍处行业极低水平。</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公司现金流充沛且“现金奶牛”特征显著。2024年经营活动现金流量净额21.71亿元，同比增长11.13%，营业收入现金比106.23%、净现比139.42%，利润含金量高；2025年经营现金流净额进一步增至22.89亿元。投资活动现金流净流出（理财与资产投入），筹资活动因大额分红净流出，均属健康范畴。</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作为阿胶行业绝对龙头，公司毛利率（72%—73%）显著高于一般中成药及食品企业；资产负债率（约21%—23%）远低于中药上市公司均值（多在30%—45%），财务稳健性突出。其高毛利、低负债、强现金的财务画像，在A股中医药板块中属优质标杆。</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（一）国资出资人属性与治理结构</w:t>
      </w:r>
    </w:p>
    <w:p>
      <w:pPr>
        <w:spacing w:lineRule="exact" w:line="600" w:before="0" w:after="0"/>
        <w:ind w:firstLine="420"/>
        <w:jc w:val="both"/>
      </w:pPr>
      <w:r>
        <w:rPr>
          <w:rFonts w:ascii="仿宋_GB2312" w:hAnsi="仿宋_GB2312" w:eastAsia="仿宋_GB2312"/>
          <w:b w:val="0"/>
          <w:color w:val="000000"/>
          <w:sz w:val="32"/>
        </w:rPr>
        <w:t>公司实际控制人为中央企业华润集团体系。截至2024年年报，华润东阿阿胶有限公司持有公司23.50%股份，华润医药投资有限公司持有9.99%，华润系合计持股约33.49%，为控股股东与实际控制人，属中央企业控股上市公司（央企层级：国务院国资委—华润集团—华润医药集团）。</w:t>
      </w:r>
    </w:p>
    <w:p>
      <w:pPr>
        <w:spacing w:lineRule="exact" w:line="600" w:before="0" w:after="0"/>
        <w:ind w:firstLine="420"/>
        <w:jc w:val="both"/>
      </w:pPr>
      <w:r>
        <w:rPr>
          <w:rFonts w:ascii="仿宋_GB2312" w:hAnsi="仿宋_GB2312" w:eastAsia="仿宋_GB2312"/>
          <w:b w:val="0"/>
          <w:color w:val="000000"/>
          <w:sz w:val="32"/>
        </w:rPr>
        <w:t>央企控股带来清晰的治理边界：董事会9人中6位非独立董事来自华润系，董事长程杰、总裁孙金妮均为华润背景，确保华润战略协同与管控落地；同时保留独立董事与公众股东监督机制，治理规范透明。</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现任董事长为程杰（2024年税前薪酬280.43万元），总裁为孙金妮，董事、董事会秘书、副总裁、财务总监为丁红岩，副总裁刘广源等，核心高管团队具华润系产业与资本背景。2024年度董监高薪酬合计1,541.57万元。</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公司作为央企控股上市公司，建立了规范的三会一层治理与内部控制体系，并通过华润系“四个重塑”完成组织优化与数字化转型；2024年完成供应链数字化改造，内控与合规水平居于行业前列。</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截至2024年末，公司员工4,095人，同比增长11.34%；人均薪酬19.01万元，人才储备与激励在县域制造业中领先。公司注重研发与品牌人才，与江南大学等共建研发中心，支撑产品创新与年轻化。</w:t>
      </w:r>
    </w:p>
    <w:p>
      <w:pPr>
        <w:spacing w:lineRule="exact" w:line="600" w:before="120" w:after="120"/>
        <w:ind w:firstLine="420"/>
        <w:jc w:val="left"/>
      </w:pPr>
      <w:r>
        <w:rPr>
          <w:rFonts w:ascii="楷体_GB2312" w:hAnsi="楷体_GB2312" w:eastAsia="楷体_GB2312"/>
          <w:b w:val="0"/>
          <w:color w:val="000000"/>
          <w:sz w:val="32"/>
        </w:rPr>
        <w:t>（五）党建引领</w:t>
      </w:r>
    </w:p>
    <w:p>
      <w:pPr>
        <w:spacing w:lineRule="exact" w:line="600" w:before="0" w:after="0"/>
        <w:ind w:firstLine="420"/>
        <w:jc w:val="both"/>
      </w:pPr>
      <w:r>
        <w:rPr>
          <w:rFonts w:ascii="仿宋_GB2312" w:hAnsi="仿宋_GB2312" w:eastAsia="仿宋_GB2312"/>
          <w:b w:val="0"/>
          <w:color w:val="000000"/>
          <w:sz w:val="32"/>
        </w:rPr>
        <w:t>作为中央企业控股上市公司，公司坚持党的领导与公司治理深度融合，将党建工作要求写入公司章程，落实“双向进入、交叉任职”。华润系入主后，通过组织重塑与精神重塑，强化党建引领，把方向、管大局、保落实，为公司战略转型与业绩回升提供了坚强的政治与组织保障，是央企控股上市公司党建赋能经营的典型样本。</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第一，品牌壁垒。公司“东阿阿胶”品牌拥有两千余年历史底蕴与国家级非遗技艺，连续多年霸榜滋补类，2024年再登“中国500最具价值品牌榜”，品牌溢价与消费者心智不可替代。</w:t>
      </w:r>
    </w:p>
    <w:p>
      <w:pPr>
        <w:spacing w:lineRule="exact" w:line="600" w:before="0" w:after="0"/>
        <w:ind w:firstLine="420"/>
        <w:jc w:val="both"/>
      </w:pPr>
      <w:r>
        <w:rPr>
          <w:rFonts w:ascii="仿宋_GB2312" w:hAnsi="仿宋_GB2312" w:eastAsia="仿宋_GB2312"/>
          <w:b w:val="0"/>
          <w:color w:val="000000"/>
          <w:sz w:val="32"/>
        </w:rPr>
        <w:t>第二，产品与品类壁垒。阿胶及系列产品收入占比超92%，阿胶块、复方阿胶浆、桃花姬三大核心单品形成“OTC大单品+处方+健康消费品”组合，并持续向男士滋补、功能性食品延伸，护城河宽且深。</w:t>
      </w:r>
    </w:p>
    <w:p>
      <w:pPr>
        <w:spacing w:lineRule="exact" w:line="600" w:before="0" w:after="0"/>
        <w:ind w:firstLine="420"/>
        <w:jc w:val="both"/>
      </w:pPr>
      <w:r>
        <w:rPr>
          <w:rFonts w:ascii="仿宋_GB2312" w:hAnsi="仿宋_GB2312" w:eastAsia="仿宋_GB2312"/>
          <w:b w:val="0"/>
          <w:color w:val="000000"/>
          <w:sz w:val="32"/>
        </w:rPr>
        <w:t>第三，原料与产业链壁垒。公司通过华润系支持的驴皮供应链优化与全球毛驴产业链布局，强化原料保供与质量控制，构建“毛驴养殖—阿胶制造—健康消费”三产融合产业链。</w:t>
      </w:r>
    </w:p>
    <w:p>
      <w:pPr>
        <w:spacing w:lineRule="exact" w:line="600" w:before="0" w:after="0"/>
        <w:ind w:firstLine="420"/>
        <w:jc w:val="both"/>
      </w:pPr>
      <w:r>
        <w:rPr>
          <w:rFonts w:ascii="仿宋_GB2312" w:hAnsi="仿宋_GB2312" w:eastAsia="仿宋_GB2312"/>
          <w:b w:val="0"/>
          <w:color w:val="000000"/>
          <w:sz w:val="32"/>
        </w:rPr>
        <w:t>第四，央企股东与资本赋能。华润集团控股带来品牌、渠道（华润医药商业网络）、资金与治理赋能，是其穿越周期、实现“业绩再回春”的关键外因。</w:t>
      </w:r>
    </w:p>
    <w:p>
      <w:pPr>
        <w:spacing w:lineRule="exact" w:line="600" w:before="0" w:after="0"/>
        <w:ind w:firstLine="420"/>
        <w:jc w:val="both"/>
      </w:pPr>
      <w:r>
        <w:rPr>
          <w:rFonts w:ascii="仿宋_GB2312" w:hAnsi="仿宋_GB2312" w:eastAsia="仿宋_GB2312"/>
          <w:b w:val="0"/>
          <w:color w:val="000000"/>
          <w:sz w:val="32"/>
        </w:rPr>
        <w:t>第五，财务与现金流壁垒。低负债、高毛利、强现金（货币类资产超85亿元）的财务结构，赋予公司极强抗风险能力与外延并购、分红底气。</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（一）原料与供应链风险</w:t>
      </w:r>
    </w:p>
    <w:p>
      <w:pPr>
        <w:spacing w:lineRule="exact" w:line="600" w:before="0" w:after="0"/>
        <w:ind w:firstLine="420"/>
        <w:jc w:val="both"/>
      </w:pPr>
      <w:r>
        <w:rPr>
          <w:rFonts w:ascii="仿宋_GB2312" w:hAnsi="仿宋_GB2312" w:eastAsia="仿宋_GB2312"/>
          <w:b w:val="0"/>
          <w:color w:val="000000"/>
          <w:sz w:val="32"/>
        </w:rPr>
        <w:t>阿胶核心原料驴皮资源稀缺、价格波动较大，全球毛驴存栏与贸易政策变化可能影响原料成本与供应稳定性，是公司最主要的供应链风险。应对措施：持续推进驴皮供应链优化与全球产业链布局。</w:t>
      </w:r>
    </w:p>
    <w:p>
      <w:pPr>
        <w:spacing w:lineRule="exact" w:line="600" w:before="120" w:after="120"/>
        <w:ind w:firstLine="420"/>
        <w:jc w:val="left"/>
      </w:pPr>
      <w:r>
        <w:rPr>
          <w:rFonts w:ascii="楷体_GB2312" w:hAnsi="楷体_GB2312" w:eastAsia="楷体_GB2312"/>
          <w:b w:val="0"/>
          <w:color w:val="000000"/>
          <w:sz w:val="32"/>
        </w:rPr>
        <w:t>（二）行业与市场竞争风险</w:t>
      </w:r>
    </w:p>
    <w:p>
      <w:pPr>
        <w:spacing w:lineRule="exact" w:line="600" w:before="0" w:after="0"/>
        <w:ind w:firstLine="420"/>
        <w:jc w:val="both"/>
      </w:pPr>
      <w:r>
        <w:rPr>
          <w:rFonts w:ascii="仿宋_GB2312" w:hAnsi="仿宋_GB2312" w:eastAsia="仿宋_GB2312"/>
          <w:b w:val="0"/>
          <w:color w:val="000000"/>
          <w:sz w:val="32"/>
        </w:rPr>
        <w:t>阿胶行业品牌竞争加剧，同仁堂、九芝堂及区域中小企业（含本报告另两家企业）分流市场；滋补品消费受经济周期与消费偏好影响。应对措施：强化品牌年轻化与品类创新，拓展新消费场景。</w:t>
      </w:r>
    </w:p>
    <w:p>
      <w:pPr>
        <w:spacing w:lineRule="exact" w:line="600" w:before="120" w:after="120"/>
        <w:ind w:firstLine="420"/>
        <w:jc w:val="left"/>
      </w:pPr>
      <w:r>
        <w:rPr>
          <w:rFonts w:ascii="楷体_GB2312" w:hAnsi="楷体_GB2312" w:eastAsia="楷体_GB2312"/>
          <w:b w:val="0"/>
          <w:color w:val="000000"/>
          <w:sz w:val="32"/>
        </w:rPr>
        <w:t>（三）渠道与政策风险</w:t>
      </w:r>
    </w:p>
    <w:p>
      <w:pPr>
        <w:spacing w:lineRule="exact" w:line="600" w:before="0" w:after="0"/>
        <w:ind w:firstLine="420"/>
        <w:jc w:val="both"/>
      </w:pPr>
      <w:r>
        <w:rPr>
          <w:rFonts w:ascii="仿宋_GB2312" w:hAnsi="仿宋_GB2312" w:eastAsia="仿宋_GB2312"/>
          <w:b w:val="0"/>
          <w:color w:val="000000"/>
          <w:sz w:val="32"/>
        </w:rPr>
        <w:t>药品端受医保、集采与中药政策影响；健康消费品端受电商监管与广告合规约束。应对措施：合规经营，平衡药品与消费品双轮，降低单一政策依赖。</w:t>
      </w:r>
    </w:p>
    <w:p>
      <w:pPr>
        <w:spacing w:lineRule="exact" w:line="600" w:before="120" w:after="120"/>
        <w:ind w:firstLine="420"/>
        <w:jc w:val="left"/>
      </w:pPr>
      <w:r>
        <w:rPr>
          <w:rFonts w:ascii="楷体_GB2312" w:hAnsi="楷体_GB2312" w:eastAsia="楷体_GB2312"/>
          <w:b w:val="0"/>
          <w:color w:val="000000"/>
          <w:sz w:val="32"/>
        </w:rPr>
        <w:t>（四）财务与估值风险</w:t>
      </w:r>
    </w:p>
    <w:p>
      <w:pPr>
        <w:spacing w:lineRule="exact" w:line="600" w:before="0" w:after="0"/>
        <w:ind w:firstLine="420"/>
        <w:jc w:val="both"/>
      </w:pPr>
      <w:r>
        <w:rPr>
          <w:rFonts w:ascii="仿宋_GB2312" w:hAnsi="仿宋_GB2312" w:eastAsia="仿宋_GB2312"/>
          <w:b w:val="0"/>
          <w:color w:val="000000"/>
          <w:sz w:val="32"/>
        </w:rPr>
        <w:t>公司财务稳健，但估值（市盈率、市净率）已反映较高成长预期，若业绩增速放缓或原料成本上行，可能存在估值回撤风险。</w:t>
      </w:r>
    </w:p>
    <w:p>
      <w:pPr>
        <w:spacing w:lineRule="exact" w:line="600" w:before="120" w:after="120"/>
        <w:ind w:firstLine="420"/>
        <w:jc w:val="left"/>
      </w:pPr>
      <w:r>
        <w:rPr>
          <w:rFonts w:ascii="楷体_GB2312" w:hAnsi="楷体_GB2312" w:eastAsia="楷体_GB2312"/>
          <w:b w:val="0"/>
          <w:color w:val="000000"/>
          <w:sz w:val="32"/>
        </w:rPr>
        <w:t>（五）管理与整合风险</w:t>
      </w:r>
    </w:p>
    <w:p>
      <w:pPr>
        <w:spacing w:lineRule="exact" w:line="600" w:before="0" w:after="0"/>
        <w:ind w:firstLine="420"/>
        <w:jc w:val="both"/>
      </w:pPr>
      <w:r>
        <w:rPr>
          <w:rFonts w:ascii="仿宋_GB2312" w:hAnsi="仿宋_GB2312" w:eastAsia="仿宋_GB2312"/>
          <w:b w:val="0"/>
          <w:color w:val="000000"/>
          <w:sz w:val="32"/>
        </w:rPr>
        <w:t>央企控股下，需持续平衡华润体系管控与市场化经营效率；外延并购若推进，存在整合不及预期风险。</w:t>
      </w:r>
    </w:p>
    <w:p>
      <w:pPr>
        <w:spacing w:lineRule="exact" w:line="600" w:before="120" w:after="120"/>
        <w:ind w:firstLine="420"/>
        <w:jc w:val="left"/>
      </w:pPr>
      <w:r>
        <w:rPr>
          <w:rFonts w:ascii="黑体" w:hAnsi="黑体" w:eastAsia="黑体"/>
          <w:b w:val="0"/>
          <w:color w:val="000000"/>
          <w:sz w:val="32"/>
        </w:rPr>
        <w:t>七、融资需求与山东投资协同建议</w:t>
      </w:r>
    </w:p>
    <w:p>
      <w:pPr>
        <w:spacing w:lineRule="exact" w:line="600" w:before="120" w:after="120"/>
        <w:ind w:firstLine="420"/>
        <w:jc w:val="left"/>
      </w:pPr>
      <w:r>
        <w:rPr>
          <w:rFonts w:ascii="楷体_GB2312" w:hAnsi="楷体_GB2312" w:eastAsia="楷体_GB2312"/>
          <w:b w:val="0"/>
          <w:color w:val="000000"/>
          <w:sz w:val="32"/>
        </w:rPr>
        <w:t>（一）总体授信策略</w:t>
      </w:r>
    </w:p>
    <w:p>
      <w:pPr>
        <w:spacing w:lineRule="exact" w:line="600" w:before="0" w:after="0"/>
        <w:ind w:firstLine="420"/>
        <w:jc w:val="both"/>
      </w:pPr>
      <w:r>
        <w:rPr>
          <w:rFonts w:ascii="仿宋_GB2312" w:hAnsi="仿宋_GB2312" w:eastAsia="仿宋_GB2312"/>
          <w:b w:val="0"/>
          <w:color w:val="000000"/>
          <w:sz w:val="32"/>
        </w:rPr>
        <w:t>东阿阿胶为央企控股、财务极其稳健的A股龙头（资产负债率仅约21%—23%、货币类资产超85亿元），自身融资需求有限、信用资质极优。建议山东投资以“股权协同+产业链赋能”为主，而非单纯债权投放，重点围绕产业链投资、混改基金与供应链金融生态展开。</w:t>
      </w:r>
    </w:p>
    <w:p>
      <w:pPr>
        <w:spacing w:lineRule="exact" w:line="600" w:before="120" w:after="120"/>
        <w:ind w:firstLine="420"/>
        <w:jc w:val="left"/>
      </w:pPr>
      <w:r>
        <w:rPr>
          <w:rFonts w:ascii="楷体_GB2312" w:hAnsi="楷体_GB2312" w:eastAsia="楷体_GB2312"/>
          <w:b w:val="0"/>
          <w:color w:val="000000"/>
          <w:sz w:val="32"/>
        </w:rPr>
        <w:t>（二）股权投资与基金协同</w:t>
      </w:r>
    </w:p>
    <w:p>
      <w:pPr>
        <w:spacing w:lineRule="exact" w:line="600" w:before="0" w:after="0"/>
        <w:ind w:firstLine="420"/>
        <w:jc w:val="both"/>
      </w:pPr>
      <w:r>
        <w:rPr>
          <w:rFonts w:ascii="仿宋_GB2312" w:hAnsi="仿宋_GB2312" w:eastAsia="仿宋_GB2312"/>
          <w:b w:val="0"/>
          <w:color w:val="000000"/>
          <w:sz w:val="32"/>
        </w:rPr>
        <w:t>可探索通过山东投资旗下产业基金，在尊重华润控股地位的前提下，参与公司定增、产业链并购基金或健康消费生态合资，分享阿胶龙头成长红利，并撬动其在山东的产业布局与就业税收。</w:t>
      </w:r>
    </w:p>
    <w:p>
      <w:pPr>
        <w:spacing w:lineRule="exact" w:line="600" w:before="120" w:after="120"/>
        <w:ind w:firstLine="420"/>
        <w:jc w:val="left"/>
      </w:pPr>
      <w:r>
        <w:rPr>
          <w:rFonts w:ascii="楷体_GB2312" w:hAnsi="楷体_GB2312" w:eastAsia="楷体_GB2312"/>
          <w:b w:val="0"/>
          <w:color w:val="000000"/>
          <w:sz w:val="32"/>
        </w:rPr>
        <w:t>（三）供应链金融</w:t>
      </w:r>
    </w:p>
    <w:p>
      <w:pPr>
        <w:spacing w:lineRule="exact" w:line="600" w:before="0" w:after="0"/>
        <w:ind w:firstLine="420"/>
        <w:jc w:val="both"/>
      </w:pPr>
      <w:r>
        <w:rPr>
          <w:rFonts w:ascii="仿宋_GB2312" w:hAnsi="仿宋_GB2312" w:eastAsia="仿宋_GB2312"/>
          <w:b w:val="0"/>
          <w:color w:val="000000"/>
          <w:sz w:val="32"/>
        </w:rPr>
        <w:t>尽管公司自身资金充裕，但其上游驴皮养殖户、下游经销商中存在大量中小微主体。可围绕真实交易，为上下游配套企业提供应收账款保理与订单融资，以公司为信用锚，服务产业链生态。</w:t>
      </w:r>
    </w:p>
    <w:p>
      <w:pPr>
        <w:spacing w:lineRule="exact" w:line="600" w:before="120" w:after="120"/>
        <w:ind w:firstLine="420"/>
        <w:jc w:val="left"/>
      </w:pPr>
      <w:r>
        <w:rPr>
          <w:rFonts w:ascii="楷体_GB2312" w:hAnsi="楷体_GB2312" w:eastAsia="楷体_GB2312"/>
          <w:b w:val="0"/>
          <w:color w:val="000000"/>
          <w:sz w:val="32"/>
        </w:rPr>
        <w:t>（四）招商引资与区域协同</w:t>
      </w:r>
    </w:p>
    <w:p>
      <w:pPr>
        <w:spacing w:lineRule="exact" w:line="600" w:before="0" w:after="0"/>
        <w:ind w:firstLine="420"/>
        <w:jc w:val="both"/>
      </w:pPr>
      <w:r>
        <w:rPr>
          <w:rFonts w:ascii="仿宋_GB2312" w:hAnsi="仿宋_GB2312" w:eastAsia="仿宋_GB2312"/>
          <w:b w:val="0"/>
          <w:color w:val="000000"/>
          <w:sz w:val="32"/>
        </w:rPr>
        <w:t>东阿阿胶是东阿县乃至聊城市的核心税源与就业龙头。建议山东投资协同地方政府，在健康消费品产业园、驴产业基地、文旅融合等方面加强政企对接，争取龙头扩产与研发项目落地山东。</w:t>
      </w:r>
    </w:p>
    <w:p>
      <w:pPr>
        <w:spacing w:lineRule="exact" w:line="600" w:before="120" w:after="120"/>
        <w:ind w:firstLine="420"/>
        <w:jc w:val="left"/>
      </w:pPr>
      <w:r>
        <w:rPr>
          <w:rFonts w:ascii="楷体_GB2312" w:hAnsi="楷体_GB2312" w:eastAsia="楷体_GB2312"/>
          <w:b w:val="0"/>
          <w:color w:val="000000"/>
          <w:sz w:val="32"/>
        </w:rPr>
        <w:t>（五）尽职调查要点</w:t>
      </w:r>
    </w:p>
    <w:p>
      <w:pPr>
        <w:spacing w:lineRule="exact" w:line="600" w:before="0" w:after="0"/>
        <w:ind w:firstLine="420"/>
        <w:jc w:val="both"/>
      </w:pPr>
      <w:r>
        <w:rPr>
          <w:rFonts w:ascii="仿宋_GB2312" w:hAnsi="仿宋_GB2312" w:eastAsia="仿宋_GB2312"/>
          <w:b w:val="0"/>
          <w:color w:val="000000"/>
          <w:sz w:val="32"/>
        </w:rPr>
        <w:t>如开展股权或基金合作，需完成：一是核查华润体系持股结构与国资监管要求；二是评估标的估值与退出机制；三是厘清产业链投资的具体抓手与风控安排。</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东阿阿胶是阿胶行业绝对龙头，央企华润控股带来治理与资源赋能，财务指标优异（高毛利、低负债、强现金），品牌与产品护城河宽深，2024—2025年业绩持续创2019年以来新高。综合评价为“央企控股、财务稳健、品牌领先、兼具成长与分红价值的优质核心资产”。</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在“药品+健康消费品”双轮驱动与华润协同下，公司有望依托品牌年轻化、品类延伸（男士滋补、功能性食品）与全球化（计划在香港设海外总部），延续稳健增长，并向“全生命周期滋补健康引领者”演进。</w:t>
      </w:r>
    </w:p>
    <w:p>
      <w:pPr>
        <w:spacing w:lineRule="exact" w:line="600" w:before="120" w:after="120"/>
        <w:ind w:firstLine="420"/>
        <w:jc w:val="left"/>
      </w:pPr>
      <w:r>
        <w:rPr>
          <w:rFonts w:ascii="楷体_GB2312" w:hAnsi="楷体_GB2312" w:eastAsia="楷体_GB2312"/>
          <w:b w:val="0"/>
          <w:color w:val="000000"/>
          <w:sz w:val="32"/>
        </w:rPr>
        <w:t>（三）主要挑战</w:t>
      </w:r>
    </w:p>
    <w:p>
      <w:pPr>
        <w:spacing w:lineRule="exact" w:line="600" w:before="0" w:after="0"/>
        <w:ind w:firstLine="420"/>
        <w:jc w:val="both"/>
      </w:pPr>
      <w:r>
        <w:rPr>
          <w:rFonts w:ascii="仿宋_GB2312" w:hAnsi="仿宋_GB2312" w:eastAsia="仿宋_GB2312"/>
          <w:b w:val="0"/>
          <w:color w:val="000000"/>
          <w:sz w:val="32"/>
        </w:rPr>
        <w:t>一是驴皮原料稀缺与成本波动；二是行业竞争与消费周期；三是政策与渠道合规；四是高估值下的预期管理。</w:t>
      </w:r>
    </w:p>
    <w:p>
      <w:pPr>
        <w:spacing w:lineRule="exact" w:line="600" w:before="120" w:after="120"/>
        <w:ind w:firstLine="420"/>
        <w:jc w:val="left"/>
      </w:pPr>
      <w:r>
        <w:rPr>
          <w:rFonts w:ascii="楷体_GB2312" w:hAnsi="楷体_GB2312" w:eastAsia="楷体_GB2312"/>
          <w:b w:val="0"/>
          <w:color w:val="000000"/>
          <w:sz w:val="32"/>
        </w:rPr>
        <w:t>（四）结论与建议</w:t>
      </w:r>
    </w:p>
    <w:p>
      <w:pPr>
        <w:spacing w:lineRule="exact" w:line="600" w:before="0" w:after="0"/>
        <w:ind w:firstLine="420"/>
        <w:jc w:val="both"/>
      </w:pPr>
      <w:r>
        <w:rPr>
          <w:rFonts w:ascii="仿宋_GB2312" w:hAnsi="仿宋_GB2312" w:eastAsia="仿宋_GB2312"/>
          <w:b w:val="0"/>
          <w:color w:val="000000"/>
          <w:sz w:val="32"/>
        </w:rPr>
        <w:t>结论：建议山东投资将东阿阿胶作为阿胶产业集群的核心战略标的，以股权/基金协同与产业链赋能为主，严控估值与国资合规，并把服务上下游中小微企业的供应链金融作为低风险切入点，实现“龙头引领、生态共荣”。</w:t>
      </w:r>
    </w:p>
    <w:p>
      <w:pPr>
        <w:spacing w:lineRule="exact" w:line="600" w:before="120" w:after="120"/>
        <w:ind w:firstLine="420"/>
        <w:jc w:val="left"/>
      </w:pPr>
      <w:r>
        <w:rPr>
          <w:rFonts w:ascii="黑体" w:hAnsi="黑体" w:eastAsia="黑体"/>
          <w:b w:val="0"/>
          <w:color w:val="000000"/>
          <w:sz w:val="32"/>
        </w:rPr>
        <w:t>九、数据来源说明</w:t>
      </w:r>
    </w:p>
    <w:p>
      <w:pPr>
        <w:spacing w:lineRule="exact" w:line="600" w:before="0" w:after="0"/>
        <w:jc w:val="left"/>
      </w:pPr>
      <w:r>
        <w:rPr>
          <w:rFonts w:ascii="仿宋_GB2312" w:hAnsi="仿宋_GB2312" w:eastAsia="仿宋_GB2312"/>
          <w:b w:val="0"/>
          <w:color w:val="000000"/>
          <w:sz w:val="28"/>
        </w:rPr>
        <w:t>1. 东阿阿胶股份有限公司2022年、2023年、2024年、2025年年度报告（巨潮资讯网 http://www.cninfo.com.cn）。</w:t>
      </w:r>
    </w:p>
    <w:p>
      <w:pPr>
        <w:spacing w:lineRule="exact" w:line="600" w:before="0" w:after="0"/>
        <w:jc w:val="left"/>
      </w:pPr>
      <w:r>
        <w:rPr>
          <w:rFonts w:ascii="仿宋_GB2312" w:hAnsi="仿宋_GB2312" w:eastAsia="仿宋_GB2312"/>
          <w:b w:val="0"/>
          <w:color w:val="000000"/>
          <w:sz w:val="28"/>
        </w:rPr>
        <w:t>2. 东阿阿胶2024年年度报告证券媒体解读：证券日报、上海证券报·中国证券网、中国证券报·中证网、证券时报·e公司（2025-03）。</w:t>
      </w:r>
    </w:p>
    <w:p>
      <w:pPr>
        <w:spacing w:lineRule="exact" w:line="600" w:before="0" w:after="0"/>
        <w:jc w:val="left"/>
      </w:pPr>
      <w:r>
        <w:rPr>
          <w:rFonts w:ascii="仿宋_GB2312" w:hAnsi="仿宋_GB2312" w:eastAsia="仿宋_GB2312"/>
          <w:b w:val="0"/>
          <w:color w:val="000000"/>
          <w:sz w:val="28"/>
        </w:rPr>
        <w:t>3. 腾讯财经/同花顺等平台东阿阿胶财务指标数据（股票代码000423.SZ），用于交叉核对营收、毛利率、资产负债率、ROE等。</w:t>
      </w:r>
    </w:p>
    <w:p>
      <w:pPr>
        <w:spacing w:lineRule="exact" w:line="600" w:before="0" w:after="0"/>
        <w:jc w:val="left"/>
      </w:pPr>
      <w:r>
        <w:rPr>
          <w:rFonts w:ascii="仿宋_GB2312" w:hAnsi="仿宋_GB2312" w:eastAsia="仿宋_GB2312"/>
          <w:b w:val="0"/>
          <w:color w:val="000000"/>
          <w:sz w:val="28"/>
        </w:rPr>
        <w:t>4. 天眼查/企查查：东阿阿胶股份有限公司股权结构（华润东阿阿胶有限公司持股23.50%、华润医药投资有限公司持股9.99%）。</w:t>
      </w:r>
    </w:p>
    <w:p>
      <w:pPr>
        <w:spacing w:lineRule="exact" w:line="600" w:before="0" w:after="0"/>
        <w:jc w:val="left"/>
      </w:pPr>
      <w:r>
        <w:rPr>
          <w:rFonts w:ascii="仿宋_GB2312" w:hAnsi="仿宋_GB2312" w:eastAsia="仿宋_GB2312"/>
          <w:b w:val="0"/>
          <w:color w:val="000000"/>
          <w:sz w:val="28"/>
        </w:rPr>
        <w:t>5. 集群背景数据引自聊城市及东阿县政府门户网站、山东省阿胶行业协会公开报道。</w:t>
      </w:r>
    </w:p>
    <w:p>
      <w:pPr>
        <w:spacing w:lineRule="exact" w:line="600" w:before="0" w:after="0"/>
        <w:jc w:val="left"/>
      </w:pPr>
      <w:r>
        <w:rPr>
          <w:rFonts w:ascii="仿宋_GB2312" w:hAnsi="仿宋_GB2312" w:eastAsia="仿宋_GB2312"/>
          <w:b w:val="0"/>
          <w:color w:val="000000"/>
          <w:sz w:val="28"/>
        </w:rPr>
        <w:t>6. 本报告财务数据均引自公司经审计年度报告，未作任何推算或虚构；2024年营收以年报摘要披露的59.21亿元为准，并注明部分平台61.57亿元口径差异。</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