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山东聊城东阿县(阿胶)特色产业集群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山东东阿古胶阿胶系列产品有限公司企业分析报告</w:t>
      </w:r>
    </w:p>
    <w:p>
      <w:pPr>
        <w:spacing w:lineRule="exact" w:line="600" w:before="0" w:after="0"/>
        <w:jc w:val="left"/>
      </w:pPr>
      <w:r>
        <w:rPr>
          <w:rFonts w:ascii="仿宋_GB2312" w:hAnsi="仿宋_GB2312" w:eastAsia="仿宋_GB2312"/>
          <w:b w:val="0"/>
          <w:color w:val="000000"/>
          <w:sz w:val="28"/>
        </w:rPr>
        <w:t>（本报告依据山东东阿古胶阿胶系列产品有限公司官方网站企业简介、天眼查/水滴信用工商登记与公开信息、青岛蓝海股权交易中心公开信息整理，统计时点截至最新公开披露信息。该公司为非上市企业（2015年9月在青岛蓝海股权交易中心挂牌，股权代码800308），完整年度财务报表未公开披露，凡涉及财务数据处均已如实标注口径与来源，未作任何推算或虚构。）</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东阿县地处山东省聊城市，是享誉中外的“阿胶之乡”，阿胶制作技艺拥有两千余年历史，是国家地理标志产品与国家级非物质文化遗产的重要承载地。阿胶产业是东阿县最具特色与辨识度的支柱产业集群，县内聚集了东阿阿胶股份有限公司（央企华润集团控股的A股上市公司）、山东东阿东方阿胶股份有限公司（新三板挂牌）、山东东阿古胶阿胶系列产品有限公司（区域老字号）等一批代表企业，并带动物流、文旅、毛驴养殖等关联产业发展。</w:t>
      </w:r>
    </w:p>
    <w:p>
      <w:pPr>
        <w:spacing w:lineRule="exact" w:line="600" w:before="0" w:after="0"/>
        <w:ind w:firstLine="420"/>
        <w:jc w:val="both"/>
      </w:pPr>
      <w:r>
        <w:rPr>
          <w:rFonts w:ascii="仿宋_GB2312" w:hAnsi="仿宋_GB2312" w:eastAsia="仿宋_GB2312"/>
          <w:b w:val="0"/>
          <w:color w:val="000000"/>
          <w:sz w:val="32"/>
        </w:rPr>
        <w:t>近年来，东阿阿胶产业集群围绕“传承精华、守正创新”推进高质量发展：以阿胶块、复方阿胶浆、阿胶糕等传统滋补品为基础，向健康消费品、男士滋补、功能性食品与“中药+食品”跨界延伸，并加速数字化营销、品牌年轻化与全球化布局。集群内企业分化明显——以央企华润控股的东阿阿胶为绝对龙头，引领行业标准与产业链整合；东方阿胶、古胶阿胶等则分别在“贡禧堂”等品牌与“古胶堂”古法炮炙非遗技艺上形成差异化定位。原料端，驴皮资源稀缺与价格波动、品牌竞争与渠道变革，是集群共同面临的核心课题。本报告所分析的三家企业，分别代表了集群内央企控股上市公司龙头、新三板成长型企业与坚守古法炮炙的区域老字号三种类型。</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东阿古胶阿胶系列产品有限公司（以下简称“古胶阿胶”或“公司”）成立于2003年5月8日，统一社会信用代码为913715247498686028，登记机关为东阿县市场监督管理局，企业登记状态为存续（开业）。注册地址为山东省东阿县齐南路18号。</w:t>
      </w:r>
    </w:p>
    <w:p>
      <w:pPr>
        <w:spacing w:lineRule="exact" w:line="600" w:before="0" w:after="0"/>
        <w:ind w:firstLine="420"/>
        <w:jc w:val="both"/>
      </w:pPr>
      <w:r>
        <w:rPr>
          <w:rFonts w:ascii="仿宋_GB2312" w:hAnsi="仿宋_GB2312" w:eastAsia="仿宋_GB2312"/>
          <w:b w:val="0"/>
          <w:color w:val="000000"/>
          <w:sz w:val="32"/>
        </w:rPr>
        <w:t>公司注册资本6,000万元人民币，企业类型为有限责任公司（自然人投资或控股）。据天眼查股权信息，股东为雷庆涛（认缴3,660万元，持股61%）、雷庆海（认缴1,440万元，持股24%）、王泽燕（认缴900万元，持股15%），法定代表人、执行董事兼总经理为雷庆涛，监事王泽燕。2025年工商参保人数约68人，人员规模标注50—99人，为小微企业。</w:t>
      </w:r>
    </w:p>
    <w:p>
      <w:pPr>
        <w:spacing w:lineRule="exact" w:line="600" w:before="0" w:after="0"/>
        <w:ind w:firstLine="420"/>
        <w:jc w:val="both"/>
      </w:pPr>
      <w:r>
        <w:rPr>
          <w:rFonts w:ascii="仿宋_GB2312" w:hAnsi="仿宋_GB2312" w:eastAsia="仿宋_GB2312"/>
          <w:b w:val="0"/>
          <w:color w:val="000000"/>
          <w:sz w:val="32"/>
        </w:rPr>
        <w:t>经营范围为：保健食品（预包装）销售；化妆品批发零售；太阳能发电技术服务；货物及技术进出口；技术服务与开发；许可项目含保健食品生产、食品生产销售、动物饲养、发电业务等。国民经济行业分类属营养食品制造（其他食品制造）。</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公司为自然人控股的有限责任公司，雷庆涛任执行董事兼总经理，王泽燕任监事，治理结构简洁、决策集中。公司未公开披露内部部门完整名录，按研发—生产—销售架构运营，并设商学院等内部培训组织。</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董事长雷庆涛为南北朝刘宋时期中药炮炙鼻祖雷敩第五十五代传人；其天祖父雷好孔潜心钻研《雷公炮炙论》，于清光绪年间创立“古胶堂”，造福乡里。2003年5月，雷庆涛创办山东东阿古胶阿胶系列产品有限公司，坚守古法炮炙，复兴雷氏家族百年熬胶技艺与文化。</w:t>
      </w:r>
    </w:p>
    <w:p>
      <w:pPr>
        <w:spacing w:lineRule="exact" w:line="600" w:before="0" w:after="0"/>
        <w:ind w:firstLine="420"/>
        <w:jc w:val="both"/>
      </w:pPr>
      <w:r>
        <w:rPr>
          <w:rFonts w:ascii="仿宋_GB2312" w:hAnsi="仿宋_GB2312" w:eastAsia="仿宋_GB2312"/>
          <w:b w:val="0"/>
          <w:color w:val="000000"/>
          <w:sz w:val="32"/>
        </w:rPr>
        <w:t>2015年9月，公司在青岛蓝海股权交易中心成功挂牌（股权代码800308），迈出区域资本市场第一步。此后陆续获评国家高新技术企业、国家知识产权优势企业、“食安山东”食品生产示范企业等，“东阿古胶阿胶制作技艺”获批市级非物质文化遗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公司战略定位为“坚守古法炮炙、弘扬传统阿胶技艺的特色老字号”，秉持“古法、古根、古源”炮制传承理念，以“融古今智慧，熬上品阿胶”为使命。</w:t>
      </w:r>
    </w:p>
    <w:p>
      <w:pPr>
        <w:spacing w:lineRule="exact" w:line="600" w:before="0" w:after="0"/>
        <w:ind w:firstLine="420"/>
        <w:jc w:val="both"/>
      </w:pPr>
      <w:r>
        <w:rPr>
          <w:rFonts w:ascii="仿宋_GB2312" w:hAnsi="仿宋_GB2312" w:eastAsia="仿宋_GB2312"/>
          <w:b w:val="0"/>
          <w:color w:val="000000"/>
          <w:sz w:val="32"/>
        </w:rPr>
        <w:t>主营业务为阿胶保健品与阿胶食品的研发、生产与销售，形成“阿胶保健品”“阿胶食品”两大核心系列，产品涵盖阿胶片、阿胶糕、口服液、阿胶颗粒（速溶粉）、阿胶粉、蜜饯类、阿胶丸剂、阿胶膏方、胶囊类及大礼包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主要来自阿胶保健品与阿胶食品的内销及部分出口。公司未公开披露分产品收入构成与年度营收规模。可确认的公开经营口径为：占地80,000㎡、GMP洁净厂房9,000㎡、5个剂型GMP车间、8个阿胶保健文号、9个食品生产单元。</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类为阿胶保健品，包括阿胶片（阿辉牌阿胶片）、阿胶糕、阿胶口服液、阿胶颗粒（摇着喝的颗粒型速溶粉）、阿胶丸剂等，是公司核心；第二类为阿胶食品，包括阿胶粉、蜜饯类、阿胶膏方、胶囊类、大礼包等；第三类为“雷公圣胶”等传承特色产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公司客户以经销商、电商与终端消费者为主，并具备进出口经营权，产品出口海外。公司未公开披露前五大客户与集中度。</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公司主要采购驴皮、辅料及包装材料，原料成本受驴皮价格波动影响。公司未公开披露供应商名称与采购集中度。</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产能方面，公司占地80,000㎡，拥有9,000㎡ GMP标准化洁净厂房、600㎡高标准实验室，配备片剂、硬胶囊剂、颗粒剂、口服液、其他（保健糕）等5个剂型的GMP生产车间，并通过ISO9001、HACCP体系认证，拥有阿胶保健文号8个、食品生产单元9个，是全国阿胶保健文号储备较丰富齐全的阿胶企业之一，也是具备进出口经营资质的保健品阿胶企业。</w:t>
      </w:r>
    </w:p>
    <w:p>
      <w:pPr>
        <w:spacing w:lineRule="exact" w:line="600" w:before="0" w:after="0"/>
        <w:ind w:firstLine="420"/>
        <w:jc w:val="both"/>
      </w:pPr>
      <w:r>
        <w:rPr>
          <w:rFonts w:ascii="仿宋_GB2312" w:hAnsi="仿宋_GB2312" w:eastAsia="仿宋_GB2312"/>
          <w:b w:val="0"/>
          <w:color w:val="000000"/>
          <w:sz w:val="32"/>
        </w:rPr>
        <w:t>研发与资质方面，公司现有发明专利7项、实用新型专利36项、外观设计专利19项（官网口径；部分旧平台口径为发明4、实用21、外观20，差异源于统计时点）；先后获评国家高新技术企业、国家知识产权优势企业、“食安山东”食品生产示范企业、山东省守合同重信用企业、聊城市企业技术中心、专精特新中小企业，为东阿县阿胶行业协会会长单位。</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公司采取“线下经销+电商+出口”模式，依托“古胶堂”百年品牌与古法炮炙非遗技艺拓展市场，并参与粤港澳大湾区等电商赋能对接活动。具体销售网络未公开披露。</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可公开引用的经营数据：注册资本6,000万元、占地80,000㎡、GMP厂房9,000㎡、5剂型车间、8个保健文号、专利（发明7+实用36+外观19）、青岛蓝海股权代码800308、参保约68人。</w:t>
      </w:r>
    </w:p>
    <w:p>
      <w:pPr>
        <w:spacing w:lineRule="exact" w:line="600" w:before="0" w:after="0"/>
        <w:ind w:firstLine="420"/>
        <w:jc w:val="both"/>
      </w:pPr>
      <w:r>
        <w:rPr>
          <w:rFonts w:ascii="仿宋_GB2312" w:hAnsi="仿宋_GB2312" w:eastAsia="仿宋_GB2312"/>
          <w:b w:val="0"/>
          <w:color w:val="000000"/>
          <w:sz w:val="32"/>
        </w:rPr>
        <w:t>市场地位方面，公司为阿胶产业集群内坚守古法炮炙的区域老字号，“古胶堂”品牌底蕴深厚、非遗技艺独特，在传统工艺细分市场具有差异化辨识度，但规模与品牌力与龙头东阿阿胶存在量级差距。公司未公开披露具体市场占有率。</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企业，未在公开信息平台披露年度定期报告，完整财务报表未公开。经检索工商、区域股权交易中心及各类信息平台，未能获取连续年度的营业收入、净利润、毛利率、资产负债率、经营活动现金流量净额等财务指标。据此，本报告如实标注：财务数据未公开披露，不进行任何推算。</w:t>
      </w:r>
    </w:p>
    <w:p>
      <w:pPr>
        <w:spacing w:lineRule="exact" w:line="600" w:before="0" w:after="0"/>
        <w:ind w:firstLine="420"/>
        <w:jc w:val="both"/>
      </w:pPr>
      <w:r>
        <w:rPr>
          <w:rFonts w:ascii="仿宋_GB2312" w:hAnsi="仿宋_GB2312" w:eastAsia="仿宋_GB2312"/>
          <w:b w:val="0"/>
          <w:color w:val="000000"/>
          <w:sz w:val="32"/>
        </w:rPr>
        <w:t>可确认的量化信息仅有：注册资本6,000万元、占地80,000㎡、参保约68人、专利（发明7+实用36+外观19）、8个阿胶保健文号、青岛蓝海股权挂牌（800308）等资质性数据。</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在缺乏公开利润表的前提下，仅作定性判断。公司定位古法炮炙特色与“古胶堂”品牌，产品溢价应高于普通代工型企业；但作为小微企业，规模与渠道有限，具体盈利水平不详。</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公司资产以80,000㎡厂区土地厂房、GMP生产车间设备、存货与应收账款为主，抵押物价值较好但设备专用性强。存货主要为驴皮与阿胶成品，受原料价格与跌价影响。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公司资产负债率未公开。公开信息未显示公司存在失信被执行等重大负面记录（以司法机关权威查询为准）；作为小微企业与老字号，其债务规模通常有限。具体债务状况需尽调核实。</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现金流量表未公开。定性看，B端销售存在账期，经营性现金流受回款影响；GMP车间与技改带来持续资本开支需求。</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可比对象为阿胶行业中小企业。古胶阿胶规模（参保约68人）小于东方阿胶（140人），更小于龙头东阿阿胶；但因数据缺失，本报告不作具体数值对标。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公司为自然人控股的有限责任公司，雷庆涛持股61%并任执行董事兼总经理，决策高度集中、效率高但内部制衡有限。</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核心管理者雷庆涛为董事长、执行董事兼总经理，同时是雷敩第五十五代传人，对公司战略与文化具有决定性影响；王泽燕任监事。2017年，雷庆涛拜国医大师李佃贵为师并聘其为公司首席养生顾问，强化中医药文化根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9001、HACCP体系建立质量管控，设有聊城市非遗古方阿胶工艺重点实验室、聊城市重点实验室、齐鲁工业大学（山东省科学院）阿胶肽工程实验室，研发与质量体系相对健全。公司未公开披露内控评价报告或第三方审计意见。</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公司2025年社保参保约68人，人员规模为小微企业。公司注重传统技艺传承与研发，设有商学院内部培训组织，技术与非遗技艺人才储备为其特色。</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第一，古法炮炙与非遗壁垒。“古胶堂”百年品牌、雷公炮炙非遗技艺、雷敩第五十五代传人的传承谱系，构成难以复制的文化与工艺护城河。</w:t>
      </w:r>
    </w:p>
    <w:p>
      <w:pPr>
        <w:spacing w:lineRule="exact" w:line="600" w:before="0" w:after="0"/>
        <w:ind w:firstLine="420"/>
        <w:jc w:val="both"/>
      </w:pPr>
      <w:r>
        <w:rPr>
          <w:rFonts w:ascii="仿宋_GB2312" w:hAnsi="仿宋_GB2312" w:eastAsia="仿宋_GB2312"/>
          <w:b w:val="0"/>
          <w:color w:val="000000"/>
          <w:sz w:val="32"/>
        </w:rPr>
        <w:t>第二，文号与资质壁垒。8个阿胶保健文号、9个食品生产单元、5剂型GMP车间，以及国家高新技术企业、国家知识产权优势企业等资质，构成准入与品控壁垒。</w:t>
      </w:r>
    </w:p>
    <w:p>
      <w:pPr>
        <w:spacing w:lineRule="exact" w:line="600" w:before="0" w:after="0"/>
        <w:ind w:firstLine="420"/>
        <w:jc w:val="both"/>
      </w:pPr>
      <w:r>
        <w:rPr>
          <w:rFonts w:ascii="仿宋_GB2312" w:hAnsi="仿宋_GB2312" w:eastAsia="仿宋_GB2312"/>
          <w:b w:val="0"/>
          <w:color w:val="000000"/>
          <w:sz w:val="32"/>
        </w:rPr>
        <w:t>第三，研发与专利。发明7+实用36+外观19项专利，齐鲁工业大学阿胶肽工程实验室等平台，技术储备在区域老字号中较强。</w:t>
      </w:r>
    </w:p>
    <w:p>
      <w:pPr>
        <w:spacing w:lineRule="exact" w:line="600" w:before="0" w:after="0"/>
        <w:ind w:firstLine="420"/>
        <w:jc w:val="both"/>
      </w:pPr>
      <w:r>
        <w:rPr>
          <w:rFonts w:ascii="仿宋_GB2312" w:hAnsi="仿宋_GB2312" w:eastAsia="仿宋_GB2312"/>
          <w:b w:val="0"/>
          <w:color w:val="000000"/>
          <w:sz w:val="32"/>
        </w:rPr>
        <w:t>第四，差异化定位。坚守“古法、古根、古源”的差异化定位，避开与龙头正面规模竞争，在传承消费群体中形成独特认知。</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（一）行业与市场风险</w:t>
      </w:r>
    </w:p>
    <w:p>
      <w:pPr>
        <w:spacing w:lineRule="exact" w:line="600" w:before="0" w:after="0"/>
        <w:ind w:firstLine="420"/>
        <w:jc w:val="both"/>
      </w:pPr>
      <w:r>
        <w:rPr>
          <w:rFonts w:ascii="仿宋_GB2312" w:hAnsi="仿宋_GB2312" w:eastAsia="仿宋_GB2312"/>
          <w:b w:val="0"/>
          <w:color w:val="000000"/>
          <w:sz w:val="32"/>
        </w:rPr>
        <w:t>阿胶行业竞争加剧、龙头挤压明显，古法炮炙定位虽差异化但受众相对小众；消费偏好波动影响需求。应对措施：强化非遗故事与文化营销，拓展年轻化产品。</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一是原料（驴皮）价格波动风险；二是小微企业客户与渠道集中、抗周期能力弱；三是古法产能与规模化之间的平衡风险。应对措施：优化采购、分散渠道、适度扩产。</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公司财务数据未公开，资产负债率与现金流状况无法评估。因数据缺失，风险的量化程度无法评估。</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公司未公开披露重大涉诉信息；作为食品与保健食品生产企业，须持续满足食品安全、保健食品监管与环保合规要求，文号与生产许可需按期延续。</w:t>
      </w:r>
    </w:p>
    <w:p>
      <w:pPr>
        <w:spacing w:lineRule="exact" w:line="600" w:before="120" w:after="120"/>
        <w:ind w:firstLine="420"/>
        <w:jc w:val="left"/>
      </w:pPr>
      <w:r>
        <w:rPr>
          <w:rFonts w:ascii="楷体_GB2312" w:hAnsi="楷体_GB2312" w:eastAsia="楷体_GB2312"/>
          <w:b w:val="0"/>
          <w:color w:val="000000"/>
          <w:sz w:val="32"/>
        </w:rPr>
        <w:t>（五）管理与人才风险</w:t>
      </w:r>
    </w:p>
    <w:p>
      <w:pPr>
        <w:spacing w:lineRule="exact" w:line="600" w:before="0" w:after="0"/>
        <w:ind w:firstLine="420"/>
        <w:jc w:val="both"/>
      </w:pPr>
      <w:r>
        <w:rPr>
          <w:rFonts w:ascii="仿宋_GB2312" w:hAnsi="仿宋_GB2312" w:eastAsia="仿宋_GB2312"/>
          <w:b w:val="0"/>
          <w:color w:val="000000"/>
          <w:sz w:val="32"/>
        </w:rPr>
        <w:t>实际控制人“一股独大”下，关联交易与决策制衡需关注；小微企业高端研发与品牌人才引进仍有约束。</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（一）总体授信策略</w:t>
      </w:r>
    </w:p>
    <w:p>
      <w:pPr>
        <w:spacing w:lineRule="exact" w:line="600" w:before="0" w:after="0"/>
        <w:ind w:firstLine="420"/>
        <w:jc w:val="both"/>
      </w:pPr>
      <w:r>
        <w:rPr>
          <w:rFonts w:ascii="仿宋_GB2312" w:hAnsi="仿宋_GB2312" w:eastAsia="仿宋_GB2312"/>
          <w:b w:val="0"/>
          <w:color w:val="000000"/>
          <w:sz w:val="32"/>
        </w:rPr>
        <w:t>古胶阿胶为坚守古法炮炙的区域老字号，非遗与文号资质较优但规模偏小，建议以“强场景、控敞口”的保理与供应链金融先行，审慎给予小额贷款与设备融资租赁支持。</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公司对下游经销商的应收账款是自偿性资产。建议针对资信良好客户开展保理，融资比例50%—60%，并关注回款周期与渠道稳定性。</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在采购端，为公司驴皮等原料采购提供预付款融资；在销售端，以真实订单开展订单融资，将信用向上下游延伸。</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公司5剂型GMP车间与洁净厂房升级需求明确。建议直租介入新增设备，租期3—5年；对成新率较高的通用设备售后回租补充流动资金，要求实控人连带担保。</w:t>
      </w:r>
    </w:p>
    <w:p>
      <w:pPr>
        <w:spacing w:lineRule="exact" w:line="600" w:before="120" w:after="120"/>
        <w:ind w:firstLine="420"/>
        <w:jc w:val="left"/>
      </w:pPr>
      <w:r>
        <w:rPr>
          <w:rFonts w:ascii="楷体_GB2312" w:hAnsi="楷体_GB2312" w:eastAsia="楷体_GB2312"/>
          <w:b w:val="0"/>
          <w:color w:val="000000"/>
          <w:sz w:val="32"/>
        </w:rPr>
        <w:t>（五）尽职调查要点</w:t>
      </w:r>
    </w:p>
    <w:p>
      <w:pPr>
        <w:spacing w:lineRule="exact" w:line="600" w:before="0" w:after="0"/>
        <w:ind w:firstLine="420"/>
        <w:jc w:val="both"/>
      </w:pPr>
      <w:r>
        <w:rPr>
          <w:rFonts w:ascii="仿宋_GB2312" w:hAnsi="仿宋_GB2312" w:eastAsia="仿宋_GB2312"/>
          <w:b w:val="0"/>
          <w:color w:val="000000"/>
          <w:sz w:val="32"/>
        </w:rPr>
        <w:t>合作前需完成：一是获取近三年经审计财务报表与纳税、银行流水；二是厘清雷庆涛家族持股与关联交易；三是核实土地厂房权属与抵押状况；四是核查保健文号与生产许可延续状态。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古胶阿胶是阿胶产业集群内坚守古法炮炙、具备“古胶堂”百年品牌与雷公炮炙非遗技艺的区域老字号，文号与专利储备较优，差异化定位清晰。</w:t>
      </w:r>
    </w:p>
    <w:p>
      <w:pPr>
        <w:spacing w:lineRule="exact" w:line="600" w:before="0" w:after="0"/>
        <w:ind w:firstLine="420"/>
        <w:jc w:val="both"/>
      </w:pPr>
      <w:r>
        <w:rPr>
          <w:rFonts w:ascii="仿宋_GB2312" w:hAnsi="仿宋_GB2312" w:eastAsia="仿宋_GB2312"/>
          <w:b w:val="0"/>
          <w:color w:val="000000"/>
          <w:sz w:val="32"/>
        </w:rPr>
        <w:t>相对不足在于：规模偏小（参保约68人）、财务透明度不足、治理制衡有限。综合评价为“非遗技艺独特、资质文号较优、但规模与透明度待提升”的特色老字号企业。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随着国潮养生与非遗文化升温，公司有望依托古法炮炙故事与“古胶堂”品牌，在传承消费与文旅融合中稳步成长。</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一是行业竞争与龙头挤压；二是原料价格与盈利波动；三是财务不透明；四是规模与人才约束。</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结论：建议列为特色老字号培育客户，以保理与供应链金融切入、严控敞口，把获取经审计财报与厘清关联交易作为提额前置，并以融资租赁支持GMP车间升级，持续监测文号与合规状态。</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山东东阿古胶阿胶系列产品有限公司官方网站（gujiaoejiao.com）企业简介与产品中心。</w:t>
      </w:r>
    </w:p>
    <w:p>
      <w:pPr>
        <w:spacing w:lineRule="exact" w:line="600" w:before="0" w:after="0"/>
        <w:jc w:val="left"/>
      </w:pPr>
      <w:r>
        <w:rPr>
          <w:rFonts w:ascii="仿宋_GB2312" w:hAnsi="仿宋_GB2312" w:eastAsia="仿宋_GB2312"/>
          <w:b w:val="0"/>
          <w:color w:val="000000"/>
          <w:sz w:val="28"/>
        </w:rPr>
        <w:t>2. 天眼查：山东东阿古胶阿胶系列产品有限公司企业基础信息、股权穿透（统一社会信用代码913715247498686028）。</w:t>
      </w:r>
    </w:p>
    <w:p>
      <w:pPr>
        <w:spacing w:lineRule="exact" w:line="600" w:before="0" w:after="0"/>
        <w:jc w:val="left"/>
      </w:pPr>
      <w:r>
        <w:rPr>
          <w:rFonts w:ascii="仿宋_GB2312" w:hAnsi="仿宋_GB2312" w:eastAsia="仿宋_GB2312"/>
          <w:b w:val="0"/>
          <w:color w:val="000000"/>
          <w:sz w:val="28"/>
        </w:rPr>
        <w:t>3. 青岛蓝海股权交易中心：山东东阿古胶阿胶系列产品有限公司挂牌信息（股权代码800308）。</w:t>
      </w:r>
    </w:p>
    <w:p>
      <w:pPr>
        <w:spacing w:lineRule="exact" w:line="600" w:before="0" w:after="0"/>
        <w:jc w:val="left"/>
      </w:pPr>
      <w:r>
        <w:rPr>
          <w:rFonts w:ascii="仿宋_GB2312" w:hAnsi="仿宋_GB2312" w:eastAsia="仿宋_GB2312"/>
          <w:b w:val="0"/>
          <w:color w:val="000000"/>
          <w:sz w:val="28"/>
        </w:rPr>
        <w:t>4. 水滴信用/企信查：山东东阿古胶阿胶系列产品有限公司工商登记、参保与资质信息。</w:t>
      </w:r>
    </w:p>
    <w:p>
      <w:pPr>
        <w:spacing w:lineRule="exact" w:line="600" w:before="0" w:after="0"/>
        <w:jc w:val="left"/>
      </w:pPr>
      <w:r>
        <w:rPr>
          <w:rFonts w:ascii="仿宋_GB2312" w:hAnsi="仿宋_GB2312" w:eastAsia="仿宋_GB2312"/>
          <w:b w:val="0"/>
          <w:color w:val="000000"/>
          <w:sz w:val="28"/>
        </w:rPr>
        <w:t>5. 集群背景数据引自聊城市及东阿县政府门户网站、山东省阿胶行业协会公开报道。</w:t>
      </w:r>
    </w:p>
    <w:p>
      <w:pPr>
        <w:spacing w:lineRule="exact" w:line="600" w:before="0" w:after="0"/>
        <w:jc w:val="left"/>
      </w:pPr>
      <w:r>
        <w:rPr>
          <w:rFonts w:ascii="仿宋_GB2312" w:hAnsi="仿宋_GB2312" w:eastAsia="仿宋_GB2312"/>
          <w:b w:val="0"/>
          <w:color w:val="000000"/>
          <w:sz w:val="28"/>
        </w:rPr>
        <w:t>6. 本报告未使用任何未经公开披露的财务数据；公司完整财务报表未公开披露，已在正文中如实标注。</w:t>
      </w:r>
    </w:p>
    <w:p>
      <w:pPr>
        <w:spacing w:lineRule="exact" w:line="600" w:before="0" w:after="0"/>
        <w:jc w:val="left"/>
      </w:pPr>
      <w:r>
        <w:rPr>
          <w:rFonts w:ascii="仿宋_GB2312" w:hAnsi="仿宋_GB2312" w:eastAsia="仿宋_GB2312"/>
          <w:b w:val="0"/>
          <w:color w:val="000000"/>
          <w:sz w:val="28"/>
        </w:rPr>
        <w:t>7. 关于专利数量，官网口径为发明7项、实用新型36项、外观设计19项；部分旧平台口径存在差异，已注明统计时点不同。</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