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山东聊城冠县(钢板延链绿色智造)特色产业集群</w:t>
      </w:r>
    </w:p>
    <w:p>
      <w:pPr>
        <w:spacing w:lineRule="exact" w:line="600" w:before="240" w:after="240"/>
        <w:ind w:firstLine="0"/>
        <w:jc w:val="center"/>
      </w:pPr>
      <w:r>
        <w:rPr>
          <w:rFonts w:ascii="方正小标宋简体" w:hAnsi="方正小标宋简体" w:eastAsia="方正小标宋简体"/>
          <w:b w:val="0"/>
          <w:color w:val="000000"/>
          <w:sz w:val="44"/>
        </w:rPr>
        <w:t>冠县仁泽复合材料有限公司企业分析报告</w:t>
      </w:r>
    </w:p>
    <w:p>
      <w:pPr>
        <w:spacing w:lineRule="exact" w:line="600" w:before="0" w:after="0"/>
        <w:jc w:val="left"/>
      </w:pPr>
      <w:r>
        <w:rPr>
          <w:rFonts w:ascii="仿宋_GB2312" w:hAnsi="仿宋_GB2312" w:eastAsia="仿宋_GB2312"/>
          <w:b w:val="0"/>
          <w:color w:val="000000"/>
          <w:sz w:val="28"/>
        </w:rPr>
        <w:t>（本报告依据冠县仁泽复合材料有限公司官方网站（xinghantudu.com）、天眼查/企信查/企查查/企信查工商登记与年报、公开报道整理，统计时点截至2025年度。该公司为非上市企业，完整年度财务报表未公开披露，凡涉及财务数据处均已如实标注口径与来源，未作任何推算或虚构。需说明：公司股权于2024年12月由上海灿蕴科技有限公司变更为刘彩华100%持股，此前（2021—2023）曾由上海灿蕴科技100%持股、更早（2018—2019）为刘彩华与蒋玉林持股，已在正文中注明；企信查等平台载明“员工1200余人、固定资产30亿元、年产值60亿元、利税过亿元”为第三方平台口径，非经审计，已在正文标注。）</w:t>
      </w:r>
    </w:p>
    <w:p>
      <w:pPr>
        <w:spacing w:lineRule="exact" w:line="600" w:before="120" w:after="120"/>
        <w:ind w:firstLine="420"/>
        <w:jc w:val="left"/>
      </w:pPr>
      <w:r>
        <w:rPr>
          <w:rFonts w:ascii="黑体" w:hAnsi="黑体" w:eastAsia="黑体"/>
          <w:b w:val="0"/>
          <w:color w:val="000000"/>
          <w:sz w:val="32"/>
        </w:rPr>
        <w:t>引言：产业集群背景</w:t>
      </w:r>
    </w:p>
    <w:p>
      <w:pPr>
        <w:spacing w:lineRule="exact" w:line="600" w:before="0" w:after="0"/>
        <w:ind w:firstLine="420"/>
        <w:jc w:val="both"/>
      </w:pPr>
      <w:r>
        <w:rPr>
          <w:rFonts w:ascii="仿宋_GB2312" w:hAnsi="仿宋_GB2312" w:eastAsia="仿宋_GB2312"/>
          <w:b w:val="0"/>
          <w:color w:val="000000"/>
          <w:sz w:val="32"/>
        </w:rPr>
        <w:t>冠县地处山东省聊城市，是长江以北重要的钢板延链绿色智造产业基地，冠县钢板加工产业集群于2022年入选国家级中小企业特色产业集群。集群以冷轧板、镀锌板、彩涂板、镀铝锌硅板及深加工制品（高速护栏、瓦楞板等）为主导，依托“三板一体化”生产与涂镀层技术，形成了从冷轧—镀锌—彩涂到终端制品的完整产业链，聚集了山东冠洲股份有限公司、冠县仁泽复合材料有限公司、山东鲁盟威金属科技有限公司等一批代表企业，产品广泛应用于建筑、家电、汽车、交通设施及国家重点工程。</w:t>
      </w:r>
    </w:p>
    <w:p>
      <w:pPr>
        <w:spacing w:lineRule="exact" w:line="600" w:before="0" w:after="0"/>
        <w:ind w:firstLine="420"/>
        <w:jc w:val="both"/>
      </w:pPr>
      <w:r>
        <w:rPr>
          <w:rFonts w:ascii="仿宋_GB2312" w:hAnsi="仿宋_GB2312" w:eastAsia="仿宋_GB2312"/>
          <w:b w:val="0"/>
          <w:color w:val="000000"/>
          <w:sz w:val="32"/>
        </w:rPr>
        <w:t>近年来，冠县钢板延链绿色智造集群围绕“延链、补链、强链”与绿色低碳方向升级：一是向高耐候、氟碳、锌铝镁、超薄高强等高端涂镀层产品延伸，提升产品附加值；二是推进智能化改造与先进级智能工厂建设，与中科院过程所、中科院海洋所等共建研发中试基地；三是强化环保绩效（A级企业）与VOCs深度治理，契合绿色制造趋势；四是依托聊城及周边钢结构、交通设施市场，拓展国内外工程与出口。集群企业分化明显——以冠洲股份为产能与品牌龙头，仁泽复合材料为超薄高强镀锌板领军者，鲁盟威则聚焦交通护栏细分与智能护栏创新。本报告所分析的三家企业，分别代表了集群内全产业链龙头、超薄高强涂镀板专业厂与交通设施（护栏）专精特新型企业三种类型。</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冠县仁泽复合材料有限公司（以下简称“仁泽复合”或“公司”）成立于2018年4月27日，统一社会信用代码为91371525MA3N23LF9J，登记机关为冠县市场监督管理局，企业登记状态为在营（开业）。注册地址为山东省聊城市冠县清泉街道办事处东环路中段西侧山东星瀚材料股份有限公司北临500米。</w:t>
      </w:r>
    </w:p>
    <w:p>
      <w:pPr>
        <w:spacing w:lineRule="exact" w:line="600" w:before="0" w:after="0"/>
        <w:ind w:firstLine="420"/>
        <w:jc w:val="both"/>
      </w:pPr>
      <w:r>
        <w:rPr>
          <w:rFonts w:ascii="仿宋_GB2312" w:hAnsi="仿宋_GB2312" w:eastAsia="仿宋_GB2312"/>
          <w:b w:val="0"/>
          <w:color w:val="000000"/>
          <w:sz w:val="32"/>
        </w:rPr>
        <w:t>公司注册资本20,000万元人民币（实缴20,000万元），企业类型为有限责任公司（自然人独资）。据天眼查/企信查股权信息，2024年12月31日股权变更后，刘彩华持股100%，任法定代表人、执行董事兼总经理；张伟任监事。2025年工商参保人数555人，人员规模标注500—999人。</w:t>
      </w:r>
    </w:p>
    <w:p>
      <w:pPr>
        <w:spacing w:lineRule="exact" w:line="600" w:before="0" w:after="0"/>
        <w:ind w:firstLine="420"/>
        <w:jc w:val="both"/>
      </w:pPr>
      <w:r>
        <w:rPr>
          <w:rFonts w:ascii="仿宋_GB2312" w:hAnsi="仿宋_GB2312" w:eastAsia="仿宋_GB2312"/>
          <w:b w:val="0"/>
          <w:color w:val="000000"/>
          <w:sz w:val="32"/>
        </w:rPr>
        <w:t>经营范围包括：热镀铝钢板、热镀铝锌硅钢板、热镀锌钢板、冷轧钢板、彩涂板、机械设备、高速路护栏、瓦楞板生产销售；带钢剪切、销售；房地产开发经营；计算机技术服务；广告设计制作；进出口业务；普通货运等。国民经济行业分类属金属制品业/通用设备制造业。</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自然人独资的有限责任公司，刘彩华任执行董事兼总经理，决策集中。公司按“研发—生产—销售”架构运营，下设酸洗、冷轧、镀锌、彩涂等多条产线管理部门，并拥有自主物流体系。公司未公开披露内部部门完整名录。</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2018年4月，公司登记设立，确立以热镀铝锌硅、热镀锌及彩涂板为主业，是冠县钢板集群内成长迅速的专业涂镀企业。</w:t>
      </w:r>
    </w:p>
    <w:p>
      <w:pPr>
        <w:spacing w:lineRule="exact" w:line="600" w:before="0" w:after="0"/>
        <w:ind w:firstLine="420"/>
        <w:jc w:val="both"/>
      </w:pPr>
      <w:r>
        <w:rPr>
          <w:rFonts w:ascii="仿宋_GB2312" w:hAnsi="仿宋_GB2312" w:eastAsia="仿宋_GB2312"/>
          <w:b w:val="0"/>
          <w:color w:val="000000"/>
          <w:sz w:val="32"/>
        </w:rPr>
        <w:t>经过多年发展，公司建成酸洗、冷轧、热镀锌、热镀铝锌、厚板镀锌、彩涂等主要生产线15条，形成年产百万吨级涂镀板材能力，并在超薄高强度镀锌板、镀铝锌板领域形成领军地位；2022年与中国科学院过程研究所合作开发镀铝锌镁钢板，列入省新旧动能转换优选项目。</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公司战略定位为“高端涂镀层板材专业制造商”，聚焦热镀铝锌硅、热镀锌、超薄高强镀锌板及彩涂板。</w:t>
      </w:r>
    </w:p>
    <w:p>
      <w:pPr>
        <w:spacing w:lineRule="exact" w:line="600" w:before="0" w:after="0"/>
        <w:ind w:firstLine="420"/>
        <w:jc w:val="both"/>
      </w:pPr>
      <w:r>
        <w:rPr>
          <w:rFonts w:ascii="仿宋_GB2312" w:hAnsi="仿宋_GB2312" w:eastAsia="仿宋_GB2312"/>
          <w:b w:val="0"/>
          <w:color w:val="000000"/>
          <w:sz w:val="32"/>
        </w:rPr>
        <w:t>主营业务为热镀铝钢板、热镀铝锌硅钢板、热镀锌钢板、冷轧钢板、彩涂板、瓦楞板及高速路护栏的生产销售，产品厚度0.12—3.0mm、宽度1250mm以下，其中高强度超薄系列钢板备受国外客户青睐。</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收入主要来自热镀锌、热镀铝锌硅、冷轧及彩涂板的销售与出口。公司未公开披露分产品收入构成与年度营收规模。可确认的公开经营口径为（企信查平台）：年产100万吨酸洗卷、100万吨冷轧钢板、90万吨热镀锌和热镀铝锌硅钢板、45万吨厚板镀锌钢板、30万吨彩涂钢板。</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第一类为热镀锌钢板与热镀铝锌硅钢板，是公司核心优势品类，产能规模居行业前列；第二类为超薄高强镀锌/镀铝锌板，面向汽车、高端建筑，出口竞争力强；第三类为冷轧钢板（年产100万吨）；第四类为彩涂板（年产30万吨）与瓦楞板、高速路护栏等深加工制品。</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公司客户以钢材贸易商、建筑与家电企业及海外采购商为主，产品出口非洲、欧盟、南美洲、东南亚、中亚等100多个国家和地区，外销占比高、国际化程度高。公司未公开披露前五大客户与集中度。</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公司主要采购冷轧基板、锌、铝、涂料等原料，原料成本受钢材与有色价格影响。公司未公开披露供应商名称与采购集中度。</w:t>
      </w:r>
    </w:p>
    <w:p>
      <w:pPr>
        <w:spacing w:lineRule="exact" w:line="600" w:before="120" w:after="120"/>
        <w:ind w:firstLine="420"/>
        <w:jc w:val="left"/>
      </w:pPr>
      <w:r>
        <w:rPr>
          <w:rFonts w:ascii="楷体_GB2312" w:hAnsi="楷体_GB2312" w:eastAsia="楷体_GB2312"/>
          <w:b w:val="0"/>
          <w:color w:val="000000"/>
          <w:sz w:val="32"/>
        </w:rPr>
        <w:t>（五）产能、资源与牌照</w:t>
      </w:r>
    </w:p>
    <w:p>
      <w:pPr>
        <w:spacing w:lineRule="exact" w:line="600" w:before="0" w:after="0"/>
        <w:ind w:firstLine="420"/>
        <w:jc w:val="both"/>
      </w:pPr>
      <w:r>
        <w:rPr>
          <w:rFonts w:ascii="仿宋_GB2312" w:hAnsi="仿宋_GB2312" w:eastAsia="仿宋_GB2312"/>
          <w:b w:val="0"/>
          <w:color w:val="000000"/>
          <w:sz w:val="32"/>
        </w:rPr>
        <w:t>产能方面，公司拥有酸洗、冷轧、热镀锌、热镀铝锌、厚板镀锌、彩涂等主要生产线15条，形成年产百万吨级涂镀板材规模，是全国在超薄高强度镀锌板、镀铝锌板产品领域的领军企业。</w:t>
      </w:r>
    </w:p>
    <w:p>
      <w:pPr>
        <w:spacing w:lineRule="exact" w:line="600" w:before="0" w:after="0"/>
        <w:ind w:firstLine="420"/>
        <w:jc w:val="both"/>
      </w:pPr>
      <w:r>
        <w:rPr>
          <w:rFonts w:ascii="仿宋_GB2312" w:hAnsi="仿宋_GB2312" w:eastAsia="仿宋_GB2312"/>
          <w:b w:val="0"/>
          <w:color w:val="000000"/>
          <w:sz w:val="32"/>
        </w:rPr>
        <w:t>资质方面，公司2024年获国家级高新技术企业认定，2026年被评为省级创新型中小企业及先进级智能工厂，并获绿色制造企业、企业技术中心、专精特新中小企业、制造业单项冠军企业等资质；拥有专利56项、商标6项，通过ISO9001体系认证，并实施了VOCs废气深度治理项目提升环保合规。</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公司采取“内贸+外贸”销售模式，拥有自主物流体系，依托冠县钢板集群产业协同与出口渠道拓展海外市场。具体销售网络未公开披露。</w:t>
      </w:r>
    </w:p>
    <w:p>
      <w:pPr>
        <w:spacing w:lineRule="exact" w:line="600" w:before="120" w:after="120"/>
        <w:ind w:firstLine="420"/>
        <w:jc w:val="left"/>
      </w:pPr>
      <w:r>
        <w:rPr>
          <w:rFonts w:ascii="楷体_GB2312" w:hAnsi="楷体_GB2312" w:eastAsia="楷体_GB2312"/>
          <w:b w:val="0"/>
          <w:color w:val="000000"/>
          <w:sz w:val="32"/>
        </w:rPr>
        <w:t>（七）经营数据与市场地位</w:t>
      </w:r>
    </w:p>
    <w:p>
      <w:pPr>
        <w:spacing w:lineRule="exact" w:line="600" w:before="0" w:after="0"/>
        <w:ind w:firstLine="420"/>
        <w:jc w:val="both"/>
      </w:pPr>
      <w:r>
        <w:rPr>
          <w:rFonts w:ascii="仿宋_GB2312" w:hAnsi="仿宋_GB2312" w:eastAsia="仿宋_GB2312"/>
          <w:b w:val="0"/>
          <w:color w:val="000000"/>
          <w:sz w:val="32"/>
        </w:rPr>
        <w:t>可公开引用的经营数据：注册资本20,000万元（实缴同）、参保555人（2025）、生产线15条、专利56、商标6、出口100多个国家和地区。</w:t>
      </w:r>
    </w:p>
    <w:p>
      <w:pPr>
        <w:spacing w:lineRule="exact" w:line="600" w:before="0" w:after="0"/>
        <w:ind w:firstLine="420"/>
        <w:jc w:val="both"/>
      </w:pPr>
      <w:r>
        <w:rPr>
          <w:rFonts w:ascii="仿宋_GB2312" w:hAnsi="仿宋_GB2312" w:eastAsia="仿宋_GB2312"/>
          <w:b w:val="0"/>
          <w:color w:val="000000"/>
          <w:sz w:val="32"/>
        </w:rPr>
        <w:t>市场地位方面，公司为冠县钢板集群内超薄高强镀锌板、镀铝锌板领域的领军企业，产能与出口规模突出，在细分市场具有区域领先地位。公司未公开披露具体市场占有率数据。</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公司为非上市企业，未在公开信息平台披露年度定期报告，完整财务报表未公开。经检索工商、官网与第三方平台，仅能获取零散口径（如注册资本20,000万元、参保555人），未能获取连续年度的营业收入、净利润、毛利率、资产负债率、经营活动现金流量净额等财务指标。据此，本报告如实标注：财务数据未公开披露，不进行任何推算。</w:t>
      </w:r>
    </w:p>
    <w:p>
      <w:pPr>
        <w:spacing w:lineRule="exact" w:line="600" w:before="0" w:after="0"/>
        <w:ind w:firstLine="420"/>
        <w:jc w:val="both"/>
      </w:pPr>
      <w:r>
        <w:rPr>
          <w:rFonts w:ascii="仿宋_GB2312" w:hAnsi="仿宋_GB2312" w:eastAsia="仿宋_GB2312"/>
          <w:b w:val="0"/>
          <w:color w:val="000000"/>
          <w:sz w:val="32"/>
        </w:rPr>
        <w:t>可确认的量化信息仅有：注册资本20,000万元（实缴同）、2025年参保555人、生产线15条、年产各类板材合计逾300万吨的产能规模。企信查等平台载明“固定资产30亿元、年产值60亿元、利税过亿元、员工1200余人”为第三方平台口径，非经审计，仅作参考。</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在缺乏公开利润表的前提下，仅作定性判断。涂镀层板材盈利受钢材价格、加工费与产能利用率影响，波动较大；公司专注超薄高强等高端品类、出口占比高，产品结构与盈利质量应优于普通涂镀企业，但具体盈利水平不详。</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公司资产以厂区土地厂房、15条产线设备、存货与应收账款为主，体量较大。存货主要为钢材与在制品，受钢价波动影响。具体资产明细未公开。</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公司资产负债率未公开。公开信息未显示公司存在失信被执行等重大负面记录（以司法机关权威查询为准）；作为产能较大的涂镀企业，其通常具备较好的银行授信基础。具体债务状况需尽调核实。</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现金流量表未公开。定性看，B端销售存在账期，经营性现金流受回款影响；大规模产线（如镀铝锌镁生产线投资4.5亿元）带来资本开支需求。</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可比上市公司如甬金股份、攀钢钒钛、华达新材等，毛利率多在5%—15%区间、资产负债率多在50%—65%区间。仁泽复合专注超薄高强涂镀、溢价较高，但因数据缺失，本报告不作具体数值对标。</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公司为自然人独资的有限责任公司，刘彩华持股100%并任执行董事兼总经理，决策集中、效率高但内部制衡有限。</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核心管理者刘彩华任法定代表人、执行董事兼总经理，对公司战略与经营具有决定性影响；张伟任监事。其他高管信息有限。</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公司通过ISO9001体系与绿色制造、VOCs治理建立管控，拥有企业技术中心与56项专利，研发与质量体系相对健全。公司未公开披露内控评价报告或第三方审计意见。</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公司2025年社保参保555人，企信查口径称员工1200余人，人员规模在县域涂镀企业中居前。公司注重技术研发，建有先进级智能工厂，研发与技能人才储备较好。</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第一，产能与规模。15条产线、年产逾300万吨涂镀板材，规模效应与交付能力突出。</w:t>
      </w:r>
    </w:p>
    <w:p>
      <w:pPr>
        <w:spacing w:lineRule="exact" w:line="600" w:before="0" w:after="0"/>
        <w:ind w:firstLine="420"/>
        <w:jc w:val="both"/>
      </w:pPr>
      <w:r>
        <w:rPr>
          <w:rFonts w:ascii="仿宋_GB2312" w:hAnsi="仿宋_GB2312" w:eastAsia="仿宋_GB2312"/>
          <w:b w:val="0"/>
          <w:color w:val="000000"/>
          <w:sz w:val="32"/>
        </w:rPr>
        <w:t>第二，技术壁垒。专注超薄高强度镀锌板、镀铝锌板，与中科院过程所合作开发镀铝锌镁钢板，专利56项，技术领先。</w:t>
      </w:r>
    </w:p>
    <w:p>
      <w:pPr>
        <w:spacing w:lineRule="exact" w:line="600" w:before="0" w:after="0"/>
        <w:ind w:firstLine="420"/>
        <w:jc w:val="both"/>
      </w:pPr>
      <w:r>
        <w:rPr>
          <w:rFonts w:ascii="仿宋_GB2312" w:hAnsi="仿宋_GB2312" w:eastAsia="仿宋_GB2312"/>
          <w:b w:val="0"/>
          <w:color w:val="000000"/>
          <w:sz w:val="32"/>
        </w:rPr>
        <w:t>第三，出口与市场。产品出口100多个国家和地区，国际化程度高，外销占比构成市场分散与汇率对冲优势。</w:t>
      </w:r>
    </w:p>
    <w:p>
      <w:pPr>
        <w:spacing w:lineRule="exact" w:line="600" w:before="0" w:after="0"/>
        <w:ind w:firstLine="420"/>
        <w:jc w:val="both"/>
      </w:pPr>
      <w:r>
        <w:rPr>
          <w:rFonts w:ascii="仿宋_GB2312" w:hAnsi="仿宋_GB2312" w:eastAsia="仿宋_GB2312"/>
          <w:b w:val="0"/>
          <w:color w:val="000000"/>
          <w:sz w:val="32"/>
        </w:rPr>
        <w:t>第四，资质与绿色制造。国家级高新技术企业、专精特新、制造业单项冠军、先进级智能工厂、绿色制造，政策与准入红利显著。</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（一）行业与市场风险</w:t>
      </w:r>
    </w:p>
    <w:p>
      <w:pPr>
        <w:spacing w:lineRule="exact" w:line="600" w:before="0" w:after="0"/>
        <w:ind w:firstLine="420"/>
        <w:jc w:val="both"/>
      </w:pPr>
      <w:r>
        <w:rPr>
          <w:rFonts w:ascii="仿宋_GB2312" w:hAnsi="仿宋_GB2312" w:eastAsia="仿宋_GB2312"/>
          <w:b w:val="0"/>
          <w:color w:val="000000"/>
          <w:sz w:val="32"/>
        </w:rPr>
        <w:t>钢铁及涂镀行业受钢材价格、房地产与基建周期、出口贸易政策影响，盈利波动较大；同质化竞争与产能结构性过剩并存。应对措施：向超薄高强、锌铝镁等高端产品延伸。</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一是原料（钢材、锌铝）价格波动风险；二是出口业务面临的汇率与贸易摩擦风险；三是大规模产能下的产能利用率风险。应对措施：优化采购、运用外汇工具。</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公司财务数据未公开，资产负债率与现金流状况无法评估。因数据缺失，风险的量化程度无法评估。</w:t>
      </w:r>
    </w:p>
    <w:p>
      <w:pPr>
        <w:spacing w:lineRule="exact" w:line="600" w:before="120" w:after="120"/>
        <w:ind w:firstLine="420"/>
        <w:jc w:val="left"/>
      </w:pPr>
      <w:r>
        <w:rPr>
          <w:rFonts w:ascii="楷体_GB2312" w:hAnsi="楷体_GB2312" w:eastAsia="楷体_GB2312"/>
          <w:b w:val="0"/>
          <w:color w:val="000000"/>
          <w:sz w:val="32"/>
        </w:rPr>
        <w:t>（四）合规与法律风险</w:t>
      </w:r>
    </w:p>
    <w:p>
      <w:pPr>
        <w:spacing w:lineRule="exact" w:line="600" w:before="0" w:after="0"/>
        <w:ind w:firstLine="420"/>
        <w:jc w:val="both"/>
      </w:pPr>
      <w:r>
        <w:rPr>
          <w:rFonts w:ascii="仿宋_GB2312" w:hAnsi="仿宋_GB2312" w:eastAsia="仿宋_GB2312"/>
          <w:b w:val="0"/>
          <w:color w:val="000000"/>
          <w:sz w:val="32"/>
        </w:rPr>
        <w:t>企信查披露公司风险总量30条、自身风险4条、司法涉诉10条，具体案由与金额需通过裁判文书网核实；作为钢铁涂镀企业，须持续满足环保（VOCs治理）、能耗与安全生产合规要求。</w:t>
      </w:r>
    </w:p>
    <w:p>
      <w:pPr>
        <w:spacing w:lineRule="exact" w:line="600" w:before="120" w:after="120"/>
        <w:ind w:firstLine="420"/>
        <w:jc w:val="left"/>
      </w:pPr>
      <w:r>
        <w:rPr>
          <w:rFonts w:ascii="楷体_GB2312" w:hAnsi="楷体_GB2312" w:eastAsia="楷体_GB2312"/>
          <w:b w:val="0"/>
          <w:color w:val="000000"/>
          <w:sz w:val="32"/>
        </w:rPr>
        <w:t>（五）管理与人才风险</w:t>
      </w:r>
    </w:p>
    <w:p>
      <w:pPr>
        <w:spacing w:lineRule="exact" w:line="600" w:before="0" w:after="0"/>
        <w:ind w:firstLine="420"/>
        <w:jc w:val="both"/>
      </w:pPr>
      <w:r>
        <w:rPr>
          <w:rFonts w:ascii="仿宋_GB2312" w:hAnsi="仿宋_GB2312" w:eastAsia="仿宋_GB2312"/>
          <w:b w:val="0"/>
          <w:color w:val="000000"/>
          <w:sz w:val="32"/>
        </w:rPr>
        <w:t>自然人独资、实际控制人“一股独大”下，关联交易与决策制衡需关注；县域高端研发人才引进仍有约束。</w:t>
      </w:r>
    </w:p>
    <w:p>
      <w:pPr>
        <w:spacing w:lineRule="exact" w:line="600" w:before="120" w:after="120"/>
        <w:ind w:firstLine="420"/>
        <w:jc w:val="left"/>
      </w:pPr>
      <w:r>
        <w:rPr>
          <w:rFonts w:ascii="黑体" w:hAnsi="黑体" w:eastAsia="黑体"/>
          <w:b w:val="0"/>
          <w:color w:val="000000"/>
          <w:sz w:val="32"/>
        </w:rPr>
        <w:t>七、融资需求与山东投资协同建议</w:t>
      </w:r>
    </w:p>
    <w:p>
      <w:pPr>
        <w:spacing w:lineRule="exact" w:line="600" w:before="120" w:after="120"/>
        <w:ind w:firstLine="420"/>
        <w:jc w:val="left"/>
      </w:pPr>
      <w:r>
        <w:rPr>
          <w:rFonts w:ascii="楷体_GB2312" w:hAnsi="楷体_GB2312" w:eastAsia="楷体_GB2312"/>
          <w:b w:val="0"/>
          <w:color w:val="000000"/>
          <w:sz w:val="32"/>
        </w:rPr>
        <w:t>（一）总体授信策略</w:t>
      </w:r>
    </w:p>
    <w:p>
      <w:pPr>
        <w:spacing w:lineRule="exact" w:line="600" w:before="0" w:after="0"/>
        <w:ind w:firstLine="420"/>
        <w:jc w:val="both"/>
      </w:pPr>
      <w:r>
        <w:rPr>
          <w:rFonts w:ascii="仿宋_GB2312" w:hAnsi="仿宋_GB2312" w:eastAsia="仿宋_GB2312"/>
          <w:b w:val="0"/>
          <w:color w:val="000000"/>
          <w:sz w:val="32"/>
        </w:rPr>
        <w:t>仁泽复合为冠县钢板集群内超薄高强涂镀板领军企业，产能与出口突出、资质硬，建议列为优先合作的核心客户，以“强场景、控敞口”的供应链金融与融资租赁先行。</w:t>
      </w:r>
    </w:p>
    <w:p>
      <w:pPr>
        <w:spacing w:lineRule="exact" w:line="600" w:before="120" w:after="120"/>
        <w:ind w:firstLine="420"/>
        <w:jc w:val="left"/>
      </w:pPr>
      <w:r>
        <w:rPr>
          <w:rFonts w:ascii="楷体_GB2312" w:hAnsi="楷体_GB2312" w:eastAsia="楷体_GB2312"/>
          <w:b w:val="0"/>
          <w:color w:val="000000"/>
          <w:sz w:val="32"/>
        </w:rPr>
        <w:t>（二）供应链金融</w:t>
      </w:r>
    </w:p>
    <w:p>
      <w:pPr>
        <w:spacing w:lineRule="exact" w:line="600" w:before="0" w:after="0"/>
        <w:ind w:firstLine="420"/>
        <w:jc w:val="both"/>
      </w:pPr>
      <w:r>
        <w:rPr>
          <w:rFonts w:ascii="仿宋_GB2312" w:hAnsi="仿宋_GB2312" w:eastAsia="仿宋_GB2312"/>
          <w:b w:val="0"/>
          <w:color w:val="000000"/>
          <w:sz w:val="32"/>
        </w:rPr>
        <w:t>在采购端，为公司冷轧基板、锌铝等原料采购提供预付款融资；在销售端，以真实订单开展订单融资，将信用向上下游延伸。</w:t>
      </w:r>
    </w:p>
    <w:p>
      <w:pPr>
        <w:spacing w:lineRule="exact" w:line="600" w:before="120" w:after="120"/>
        <w:ind w:firstLine="420"/>
        <w:jc w:val="left"/>
      </w:pPr>
      <w:r>
        <w:rPr>
          <w:rFonts w:ascii="楷体_GB2312" w:hAnsi="楷体_GB2312" w:eastAsia="楷体_GB2312"/>
          <w:b w:val="0"/>
          <w:color w:val="000000"/>
          <w:sz w:val="32"/>
        </w:rPr>
        <w:t>（三）融资租赁</w:t>
      </w:r>
    </w:p>
    <w:p>
      <w:pPr>
        <w:spacing w:lineRule="exact" w:line="600" w:before="0" w:after="0"/>
        <w:ind w:firstLine="420"/>
        <w:jc w:val="both"/>
      </w:pPr>
      <w:r>
        <w:rPr>
          <w:rFonts w:ascii="仿宋_GB2312" w:hAnsi="仿宋_GB2312" w:eastAsia="仿宋_GB2312"/>
          <w:b w:val="0"/>
          <w:color w:val="000000"/>
          <w:sz w:val="32"/>
        </w:rPr>
        <w:t>公司产线升级（镀铝锌镁生产线等）需求明确。建议直租介入新增设备，租期3—5年；对成新率较高的通用设备售后回租补充流动资金，以土地厂房增信，要求实控人连带担保。</w:t>
      </w:r>
    </w:p>
    <w:p>
      <w:pPr>
        <w:spacing w:lineRule="exact" w:line="600" w:before="120" w:after="120"/>
        <w:ind w:firstLine="420"/>
        <w:jc w:val="left"/>
      </w:pPr>
      <w:r>
        <w:rPr>
          <w:rFonts w:ascii="楷体_GB2312" w:hAnsi="楷体_GB2312" w:eastAsia="楷体_GB2312"/>
          <w:b w:val="0"/>
          <w:color w:val="000000"/>
          <w:sz w:val="32"/>
        </w:rPr>
        <w:t>（四）保理业务</w:t>
      </w:r>
    </w:p>
    <w:p>
      <w:pPr>
        <w:spacing w:lineRule="exact" w:line="600" w:before="0" w:after="0"/>
        <w:ind w:firstLine="420"/>
        <w:jc w:val="both"/>
      </w:pPr>
      <w:r>
        <w:rPr>
          <w:rFonts w:ascii="仿宋_GB2312" w:hAnsi="仿宋_GB2312" w:eastAsia="仿宋_GB2312"/>
          <w:b w:val="0"/>
          <w:color w:val="000000"/>
          <w:sz w:val="32"/>
        </w:rPr>
        <w:t>公司对资信良好海外及国内客户的应收账款是优质自偿性资产。建议针对核心客户开展保理，对出口应收配套中国出口信用保险，融资比例70%—80%。</w:t>
      </w:r>
    </w:p>
    <w:p>
      <w:pPr>
        <w:spacing w:lineRule="exact" w:line="600" w:before="120" w:after="120"/>
        <w:ind w:firstLine="420"/>
        <w:jc w:val="left"/>
      </w:pPr>
      <w:r>
        <w:rPr>
          <w:rFonts w:ascii="楷体_GB2312" w:hAnsi="楷体_GB2312" w:eastAsia="楷体_GB2312"/>
          <w:b w:val="0"/>
          <w:color w:val="000000"/>
          <w:sz w:val="32"/>
        </w:rPr>
        <w:t>（五）尽职调查要点</w:t>
      </w:r>
    </w:p>
    <w:p>
      <w:pPr>
        <w:spacing w:lineRule="exact" w:line="600" w:before="0" w:after="0"/>
        <w:ind w:firstLine="420"/>
        <w:jc w:val="both"/>
      </w:pPr>
      <w:r>
        <w:rPr>
          <w:rFonts w:ascii="仿宋_GB2312" w:hAnsi="仿宋_GB2312" w:eastAsia="仿宋_GB2312"/>
          <w:b w:val="0"/>
          <w:color w:val="000000"/>
          <w:sz w:val="32"/>
        </w:rPr>
        <w:t>合作前需完成：一是获取近三年经审计财务报表与纳税、银行流水；二是厘清刘彩华100%持股下的关联交易；三是通过裁判文书网核实涉诉案由与金额；四是核实土地厂房权属与抵押状况。</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仁泽复合是冠县钢板集群内超薄高强涂镀板的领军企业，15条产线、出口100多国的规模与国际化能力突出，国家级高新、专精特新、单项冠军等资质构成显著壁垒。</w:t>
      </w:r>
    </w:p>
    <w:p>
      <w:pPr>
        <w:spacing w:lineRule="exact" w:line="600" w:before="0" w:after="0"/>
        <w:ind w:firstLine="420"/>
        <w:jc w:val="both"/>
      </w:pPr>
      <w:r>
        <w:rPr>
          <w:rFonts w:ascii="仿宋_GB2312" w:hAnsi="仿宋_GB2312" w:eastAsia="仿宋_GB2312"/>
          <w:b w:val="0"/>
          <w:color w:val="000000"/>
          <w:sz w:val="32"/>
        </w:rPr>
        <w:t>相对不足在于：财务透明度不足，公开风险标签需核实，自然人独资下治理制衡有限。综合评价为“产能技术领先、出口强劲、但透明度与治理待核查”的优质中大型企业。</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据公司定位，随着高端涂镀层（锌铝镁、超薄高强）与绿色低碳需求增长，公司有望依托研发中试与智能工厂巩固优势。</w:t>
      </w:r>
    </w:p>
    <w:p>
      <w:pPr>
        <w:spacing w:lineRule="exact" w:line="600" w:before="120" w:after="120"/>
        <w:ind w:firstLine="420"/>
        <w:jc w:val="left"/>
      </w:pPr>
      <w:r>
        <w:rPr>
          <w:rFonts w:ascii="楷体_GB2312" w:hAnsi="楷体_GB2312" w:eastAsia="楷体_GB2312"/>
          <w:b w:val="0"/>
          <w:color w:val="000000"/>
          <w:sz w:val="32"/>
        </w:rPr>
        <w:t>（三）主要挑战</w:t>
      </w:r>
    </w:p>
    <w:p>
      <w:pPr>
        <w:spacing w:lineRule="exact" w:line="600" w:before="0" w:after="0"/>
        <w:ind w:firstLine="420"/>
        <w:jc w:val="both"/>
      </w:pPr>
      <w:r>
        <w:rPr>
          <w:rFonts w:ascii="仿宋_GB2312" w:hAnsi="仿宋_GB2312" w:eastAsia="仿宋_GB2312"/>
          <w:b w:val="0"/>
          <w:color w:val="000000"/>
          <w:sz w:val="32"/>
        </w:rPr>
        <w:t>一是行业周期与原料价格；二是出口汇率与贸易政策；三是财务不透明与风险厘清；四是环保与能耗合规投入。</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结论：建议列为重点客户培育，以供应链金融与融资租赁切入、严控敞口，把获取经审计财报与厘清风险标签作为提额前置。</w:t>
      </w:r>
    </w:p>
    <w:p>
      <w:pPr>
        <w:spacing w:lineRule="exact" w:line="600" w:before="120" w:after="120"/>
        <w:ind w:firstLine="420"/>
        <w:jc w:val="left"/>
      </w:pPr>
      <w:r>
        <w:rPr>
          <w:rFonts w:ascii="黑体" w:hAnsi="黑体" w:eastAsia="黑体"/>
          <w:b w:val="0"/>
          <w:color w:val="000000"/>
          <w:sz w:val="32"/>
        </w:rPr>
        <w:t>九、数据来源说明</w:t>
      </w:r>
    </w:p>
    <w:p>
      <w:pPr>
        <w:spacing w:lineRule="exact" w:line="600" w:before="0" w:after="0"/>
        <w:jc w:val="left"/>
      </w:pPr>
      <w:r>
        <w:rPr>
          <w:rFonts w:ascii="仿宋_GB2312" w:hAnsi="仿宋_GB2312" w:eastAsia="仿宋_GB2312"/>
          <w:b w:val="0"/>
          <w:color w:val="000000"/>
          <w:sz w:val="28"/>
        </w:rPr>
        <w:t>1. 冠县仁泽复合材料有限公司官方网站（xinghantudu.com）产品与企业信息。</w:t>
      </w:r>
    </w:p>
    <w:p>
      <w:pPr>
        <w:spacing w:lineRule="exact" w:line="600" w:before="0" w:after="0"/>
        <w:jc w:val="left"/>
      </w:pPr>
      <w:r>
        <w:rPr>
          <w:rFonts w:ascii="仿宋_GB2312" w:hAnsi="仿宋_GB2312" w:eastAsia="仿宋_GB2312"/>
          <w:b w:val="0"/>
          <w:color w:val="000000"/>
          <w:sz w:val="28"/>
        </w:rPr>
        <w:t>2. 天眼查：冠县仁泽复合材料有限公司企业基础信息、股权变更与年报社保（统一社会信用代码91371525MA3N23LF9J）。</w:t>
      </w:r>
    </w:p>
    <w:p>
      <w:pPr>
        <w:spacing w:lineRule="exact" w:line="600" w:before="0" w:after="0"/>
        <w:jc w:val="left"/>
      </w:pPr>
      <w:r>
        <w:rPr>
          <w:rFonts w:ascii="仿宋_GB2312" w:hAnsi="仿宋_GB2312" w:eastAsia="仿宋_GB2312"/>
          <w:b w:val="0"/>
          <w:color w:val="000000"/>
          <w:sz w:val="28"/>
        </w:rPr>
        <w:t>3. 企信查/企查查：冠县仁泽复合材料有限公司工商登记、资质与产能信息。</w:t>
      </w:r>
    </w:p>
    <w:p>
      <w:pPr>
        <w:spacing w:lineRule="exact" w:line="600" w:before="0" w:after="0"/>
        <w:jc w:val="left"/>
      </w:pPr>
      <w:r>
        <w:rPr>
          <w:rFonts w:ascii="仿宋_GB2312" w:hAnsi="仿宋_GB2312" w:eastAsia="仿宋_GB2312"/>
          <w:b w:val="0"/>
          <w:color w:val="000000"/>
          <w:sz w:val="28"/>
        </w:rPr>
        <w:t>4. 聊城市及冠县政府门户网站、山东省工信厅公开报道（国家级中小企业特色产业集群、新旧动能转换优选项目）。</w:t>
      </w:r>
    </w:p>
    <w:p>
      <w:pPr>
        <w:spacing w:lineRule="exact" w:line="600" w:before="0" w:after="0"/>
        <w:jc w:val="left"/>
      </w:pPr>
      <w:r>
        <w:rPr>
          <w:rFonts w:ascii="仿宋_GB2312" w:hAnsi="仿宋_GB2312" w:eastAsia="仿宋_GB2312"/>
          <w:b w:val="0"/>
          <w:color w:val="000000"/>
          <w:sz w:val="28"/>
        </w:rPr>
        <w:t>5. 本报告未使用任何未经公开披露的财务数据；公司完整财务报表未公开披露，已在正文中如实标注；年产值60亿元、利税过亿等为第三方平台口径，非经审计。</w:t>
      </w:r>
    </w:p>
    <w:p>
      <w:pPr>
        <w:spacing w:lineRule="exact" w:line="600" w:before="0" w:after="0"/>
        <w:jc w:val="left"/>
      </w:pPr>
      <w:r>
        <w:rPr>
          <w:rFonts w:ascii="仿宋_GB2312" w:hAnsi="仿宋_GB2312" w:eastAsia="仿宋_GB2312"/>
          <w:b w:val="0"/>
          <w:color w:val="000000"/>
          <w:sz w:val="28"/>
        </w:rPr>
        <w:t>6. 关于股权变更：2024年12月由上海灿蕴科技变更为刘彩华100%持股，此前2021—2023为上海灿蕴科技100%持股，已在报告正文中注明。</w:t>
      </w:r>
    </w:p>
    <w:p>
      <w:pPr>
        <w:spacing w:lineRule="exact" w:line="600" w:before="0" w:after="0"/>
        <w:jc w:val="left"/>
      </w:pPr>
      <w:r>
        <w:rPr>
          <w:rFonts w:ascii="仿宋_GB2312" w:hAnsi="仿宋_GB2312" w:eastAsia="仿宋_GB2312"/>
          <w:b w:val="0"/>
          <w:color w:val="000000"/>
          <w:sz w:val="28"/>
        </w:rPr>
        <w:t>7. 关于司法涉诉（风险总量30条、涉诉10条），本报告仅引述第三方平台公开展示信息，具体以中国裁判文书网权威查询结果为准。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