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山东聊城阳谷（铜及铜深加工）特色产业集群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山东省祥瑞金属科技有限公司企业分析报告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启信宝、公开工商信息，统计时点截至2025年年报。公司为非上市企业，财务数据未公开披露，已如实标注。公司曾用名“山东祥瑞铜材有限公司”，现由新凤祥控股集团有限责任公司100%持股，属新凤祥体系，受原凤祥/祥光债务风险波及，需关注经营异常。）</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省祥瑞金属科技有限公司（曾用名“山东祥瑞铜材有限公司”，至2020年10月28日）成立于2010年3月26日，登记机关为阳谷县市场监督管理局，登记状态为在营（开业）企业。法定代表人为孟颖，统一社会信用代码913700005522216028，注册地址位于山东省聊城市阳谷县石佛镇祥光路（祥光生态工业园内）。</w:t>
      </w:r>
    </w:p>
    <w:p>
      <w:pPr>
        <w:spacing w:lineRule="exact" w:line="600" w:before="0" w:after="0"/>
        <w:ind w:firstLine="420"/>
        <w:jc w:val="both"/>
      </w:pPr>
      <w:r>
        <w:rPr>
          <w:rFonts w:ascii="仿宋_GB2312" w:hAnsi="仿宋_GB2312" w:eastAsia="仿宋_GB2312"/>
          <w:b w:val="0"/>
          <w:color w:val="000000"/>
          <w:sz w:val="32"/>
        </w:rPr>
        <w:t>公司注册资本44,832万元人民币，实缴资本44,832万元人民币，企业类型为有限责任公司（非自然人投资或控股的法人独资）。2023年12月11日起股东为新凤祥控股集团有限责任公司，持股100%（企业法人独资）；股权穿透显示新凤祥控股上层为云南国际信托有限公司等。所属行业为金属制品业（C3340金属丝绳及其制品制造），2025年报参保人数仅7人（人员规模小于50人），系小微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公司为法人独资企业，由新凤祥控股集团100%持股，未公开披露子公司信息。其与祥光铜业同处祥光路，属祥光生态工业园铜精深加工环节。</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2010年设立，原名山东祥瑞铜材有限公司，2020年10月更为现名。历史上股东为盛富国际发展有限公司（53.31%）与山东祥光集团有限公司（46.69%）；2023年12月股权变更为新凤祥控股集团100%持股。新凤祥体系曾因祥光铜业债务危机受波及，公司亦面临经营与法律风险。</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铜精深加工企业，主营优质低氧铜杆、铜线材、电气化铁路架空导线、电力电缆、漆包线、汽车电缆、船用电缆、安全防火电缆、连铸连轧铜杆、铜材、线缆组件、有色金属及其复合材料的研制、开发、生产和销售，并提供技术咨询；兼营货物技术进出口。</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业务以低氧铜杆、铜线材及铜基线缆产品制造销售为核心。具体收入构成未公开披露。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主要产品：优质低氧铜杆、铜线材、电气化铁路架空导线、电力电缆、漆包线、汽车电缆、船用电缆、安全防火电缆、连铸连轧铜杆、铜材、线缆组件、有色金属复合材料。</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客户为电线电缆、电气化铁路、汽车、船舶等下游制造企业。具体前五大客户未公开披露。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核心原料为阴极铜，可依托同园区祥光铜业供应；具体采购与供应商未公开披露。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具备连铸连轧铜杆等铜精深加工产能，持有货物/技术进出口资质。具体产能数据未公开披露。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销售以铜杆、线缆产品直销下游为主，并开展进出口贸易。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公司营收、产能及市占率数据未公开披露。2025年报参保人数仅7人，与4.48亿元注册资本及历史规模不匹配，提示实际生产经营可能收缩或人员未在母公司参保，需关注经营异常。</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公司为非上市企业，财务数据未公开披露，无法取得近三年会计数据，本节如实标注，不编造数字。</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盈利能力数据未公开披露。参保人数极少，提示经营可能处于低位。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资产质量数据未公开披露。实缴资本44,832万元，资产规模较大。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负债与偿债能力数据未公开披露。据启信宝，公司自身风险约62条、关联风险高，2026年7月出现个人所得税欠税公告，提示资金与合规压力。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与同园区阳谷电缆集团等相比，公司规模与透明度较弱，财务未公开，量化对标受限。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公司为法人独资企业，由新凤祥控股集团100%持股，法定代表人孟颖，治理结构由新凤祥体系主导。</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法定代表人孟颖（关联企业22家）。历史主要人员含张化刚（董事长兼总经理）、刘学景（董事）等。</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内控制度由母公司统筹，具体未公开披露。</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2025年报参保人数仅7人，与注册资本及历史规模显著不匹配，提示实际用工或经营状态异常，需重点关注。</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业链位置：位于祥光生态工业园，紧邻祥光铜业阴极铜原料，具备铜杆/线材精深加工区位与原料协同；二是产品资质：具备低氧铜杆、电气化铁路导线、多类电缆研制能力；三是资本基础：实缴资本4.48亿元。</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体系风险：属新凤祥体系，受原凤祥/祥光债务危机波及，关联风险高；二是经营异常：2025年报参保仅7人，提示生产可能收缩；三是合规风险：据启信宝自身风险约62条、2026年欠税公告，需关注诉讼与税务；四是财务不透明：非上市，外部评估受限；五是原料波动：阴极铜价格影响成本。公司风险整体偏高，需审慎对待。</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鉴于公司属新凤祥体系、存在较高风险与经营异常，与山东投资协同须高度审慎：如介入，仅建议以足值资产抵押的融资租赁或供应链金融（依托祥光铜业原料闭环）为主，并取得实控人连带担保与完整财务；不建议信用类小贷。</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省祥瑞金属科技有限公司是阳谷铜及铜深加工集群的铜精深加工企业，具备区位与原料协同优势，但属新凤祥体系、经营与合规风险较高、财务极不透明、参保人数异常。综合判断：风险显著高于同集群其他企业。</w:t>
      </w:r>
    </w:p>
    <w:p>
      <w:pPr>
        <w:spacing w:lineRule="exact" w:line="600" w:before="0" w:after="0"/>
        <w:ind w:firstLine="420"/>
        <w:jc w:val="both"/>
      </w:pPr>
      <w:r>
        <w:rPr>
          <w:rFonts w:ascii="仿宋_GB2312" w:hAnsi="仿宋_GB2312" w:eastAsia="仿宋_GB2312"/>
          <w:b w:val="0"/>
          <w:color w:val="000000"/>
          <w:sz w:val="32"/>
        </w:rPr>
        <w:t>发展展望：若能与祥光铜业形成稳定原料协同并理顺股权债务，铜杆线材业务具备恢复空间。挑战在于体系风险化解与经营恢复。</w:t>
      </w:r>
    </w:p>
    <w:p>
      <w:pPr>
        <w:spacing w:lineRule="exact" w:line="600" w:before="0" w:after="0"/>
        <w:ind w:firstLine="420"/>
        <w:jc w:val="both"/>
      </w:pPr>
      <w:r>
        <w:rPr>
          <w:rFonts w:ascii="仿宋_GB2312" w:hAnsi="仿宋_GB2312" w:eastAsia="仿宋_GB2312"/>
          <w:b w:val="0"/>
          <w:color w:val="000000"/>
          <w:sz w:val="32"/>
        </w:rPr>
        <w:t>建议：山东投资对其宜采取“审慎观望、风险隔离”策略，优先待其经营与合规改善、取得完整财务后再评估协同；如介入须以资产抵押与强担保为前提。</w:t>
      </w:r>
    </w:p>
    <w:p>
      <w:pPr>
        <w:spacing w:lineRule="exact" w:line="600" w:before="0" w:after="0"/>
        <w:jc w:val="left"/>
      </w:pPr>
      <w:r>
        <w:rPr>
          <w:rFonts w:ascii="仿宋_GB2312" w:hAnsi="仿宋_GB2312" w:eastAsia="仿宋_GB2312"/>
          <w:b w:val="0"/>
          <w:color w:val="000000"/>
          <w:sz w:val="28"/>
        </w:rPr>
        <w:t>数据来源说明：1）天眼查（tianyancha.com/company/2337103116）工商与股权穿透；2）企查查（qcc.com）工商信息；3）启信宝（qixin.com）风险、欠税与社保；4）公开工商变更记录（曾用名山东祥瑞铜材有限公司）。财务数据未公开披露，未编造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