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山东聊城阳谷（铜及铜深加工）特色产业集群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山东阳谷电缆集团有限公司企业分析报告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爱企查、公司官网（ygdljt.com.cn）及公开工商信息，统计时点截至2025年年报。公司为非上市企业，财务数据仅见历史公开披露（2016年集团主营收入102亿元），近三年未公开披露，已如实标注。公司含地方国资（聊城泰合财金基金、国开发展基金）参股。）</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阳谷电缆集团有限公司（曾用名山东阳谷电缆集团公司）成立于1996年4月18日，前身为1986年始建的山东阳谷电缆厂，登记机关为阳谷县市场监督管理局，登记状态为在营（开业）企业。法定代表人为钟本健，统一社会信用代码91371521168011969M，注册地址位于山东省阳谷县西湖14号。</w:t>
      </w:r>
    </w:p>
    <w:p>
      <w:pPr>
        <w:spacing w:lineRule="exact" w:line="600" w:before="0" w:after="0"/>
        <w:ind w:firstLine="420"/>
        <w:jc w:val="both"/>
      </w:pPr>
      <w:r>
        <w:rPr>
          <w:rFonts w:ascii="仿宋_GB2312" w:hAnsi="仿宋_GB2312" w:eastAsia="仿宋_GB2312"/>
          <w:b w:val="0"/>
          <w:color w:val="000000"/>
          <w:sz w:val="32"/>
        </w:rPr>
        <w:t>公司注册资本24,380万元人民币（约2.44亿元），实缴资本约18,344万–22,030万元，企业类型为有限责任公司。股东结构多元：高宪武持股48.5075%（大股东、实际控制人），翟东玲11.8066%，钟本健11.1383%，聊城泰合财金新旧动能转换股权投资基金合伙企业（有限合伙）9.6390%（其上层阳谷兴阳发展集团有限公司持股98%，系地方国资），工会职工5.9702%，国开发展基金有限公司5.8655%（国家开发银行100%持股，系中央国资），其余为自然人股东。所属行业为电气机械和器材制造业/计算机通信和其他电子设备制造业，2025年报参保人数160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公司旗下共有15家参控股企业，形成电能传输、通信传输、轨道交通、装备制造及原料、非银行金融、产业配套服务等板块。对外投资19家、控股15家、设14家分支机构，集团化特征明显。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前身山东阳谷电缆厂始建于1986年，深耕电线电缆行业三十余年。集团发展为技术密集型、高效益的国家大型企业，通过ISO9000、欧盟CE、俄罗斯GHOST、德国TÜV莱茵等产品认证，拥有相关产品专利134项（其中发明专利13项），参与国家标准、行业标准、军标制定21项，建有山东省企业技术中心、山东省特种光电线缆工程实验室、院士工作站等科研机构。获“国家高新技术企业”“中国制造企业500强”“中国民营企业500强”“中国电缆十大品牌”等荣誉。</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从事电线电缆高新技术研究和生产经营的技术密集型国家大型企业、阳谷县电线电缆产业龙头。主营电线电缆及电缆附件、电源线、光纤光缆、电子元件、汽车线束、铜材铝材合金材料加工销售，并从事相关技术开发与进出口业务。</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业务涵盖电能传输（电力电缆）、通信传输（光纤光缆）、轨道交通板块及铜铝原料加工。据公开资料，2016年集团主营业务收入102亿元（历史数据），近三年收入构成未公开披露。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电力电缆及附件、电源线、铝合金导体电源线、插头插座、光纤光缆、电子元件、光器件、汽车线束、插接件，以及铜材、铝材、合金材料加工。具备军网、通信、电网、油田、铁路、煤矿等专用线缆研制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是中国联通、中国移动、中国电信三大运营商以及电网、军网、通信、广电、油田、铁路、煤矿等全国干线通信和国家电网建设的主要供应商之一，产品出口新加坡、巴基斯坦、印度、南美、非洲等。销售网络覆盖全国23省5区4市660个市，多数一线城市设多个代理点。</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生产所需铜、铝等大宗原材料占比高，具体供应商未公开披露。铜价波动对成本影响显著。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年产值过百亿元（历史），旗下15家参控股企业。持有ISO9000、CE、GHOST、TÜV等认证，山东省企业技术中心、院士工作站等科研平台，军品配套资质（国家“民参军”优秀推荐企业）。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采用“全国经销商+大客户直销+出口”模式，覆盖广泛；通过数字化转型提升产品质量追溯能力，带动当地产业集群升级。</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据公开资料，2016年集团主营业务收入102亿元、年产值过百亿元；入选2021年度中国线缆产业最具竞争力企业榜单、2020年中国电线电缆二十强、中国线缆行业100强。近三年营收与市占率未公开披露。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公司为非上市企业，近三年经审计或披露的财务数据未公开。公开可见历史数据：2016年集团主营业务收入102亿元（快懂百科）。其余年份资产总额、营收、净利润等未公开披露，本节如实标注，不编造数字。</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盈利能力数据未公开披露。线缆行业毛利率受铜价与竞争影响波动，公司拥有技术与客户壁垒，但具体净利率不可得。</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资产质量数据未公开披露。注册资本2.44亿元、实缴约1.83–2.20亿元，旗下15家参控股企业，资产规模较大。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负债与偿债能力数据未公开披露。含地方国资（聊城泰合财金基金9.64%）与中央国资（国开发展基金5.87%）参股，提供一定信用基础。</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经营活动现金流数据未公开披露。线缆业务项目制回款周期较长，存在资金占用。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与A股线缆龙头（如亨通光电、中天科技、宝胜股份等）相比，阳谷电缆为区域龙头、入选中国线缆100强，但非上市、财务透明度低，规模小于头部上市公司。</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公司为有限责任公司，设董事长高宪武、董事兼总经理钟本健及多名董事、监事。股权含民营大股东与地方/中央国资参股，治理兼具民营效率与国资监督。</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董事长高宪武（大股东，关联企业5家），董事兼总经理钟本健（法定代表人，关联企业4家）。</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集团化管控，旗下15家参控股企业，建有企业技术中心与质量追溯体系，内控制度未公开披露。</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2025年报参保人数160人（本部口径）；官网介绍集团员工4,200人、其中专业技术人员387人（含参控股企业），研发与产业工人队伍完备。</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客户与资质壁垒：三大运营商、电网、军网、铁路等主要供应商，军品配套与多项国际认证；二是技术与标准：134项专利、参与21项国标/行标/军标、省级技术中心与院士工作站；三是规模与品牌：中国线缆100强、中国电缆十大品牌、年产值过百亿；四是国资参股信用：地方与中央国资合计约15.5%参股；五是产业链：铜铝原料加工与线缆一体化。</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法律与合规风险：据爱企查，公司曾涉及68项经营纠纷、4次行政处罚、356件立案信息、106个开庭公告、206起涉诉关系，需高度关注合同履约、产品质量与诉讼；二是原材料价格风险：铜铝价格波动直接影响成本与毛利；三是客户与回款风险：大项目制回款周期长；四是财务不透明：非上市，外部评估受限。公司已通过数字化转型、质量追溯与资质体系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区域线缆龙头且含国资参股，协同以供应链金融与融资租赁为主：一是保理，针对其运营商、电网等大客户应收账款提供融资，缓解回款压力；二是融资租赁，支持智能产线与检测设备更新；三是产业基金，支持特种线缆（轨交、军品、新能源）产能扩张。国资参股背景利于风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阳谷电缆集团有限公司是阳谷铜及铜深加工集群的线缆龙头、中国线缆100强企业，具备客户、技术、资质与国资参股综合优势，但存在较多司法案件与财务不透明问题。综合判断：区域竞争力强，但合规与透明度须改善。</w:t>
      </w:r>
    </w:p>
    <w:p>
      <w:pPr>
        <w:spacing w:lineRule="exact" w:line="600" w:before="0" w:after="0"/>
        <w:ind w:firstLine="420"/>
        <w:jc w:val="both"/>
      </w:pPr>
      <w:r>
        <w:rPr>
          <w:rFonts w:ascii="仿宋_GB2312" w:hAnsi="仿宋_GB2312" w:eastAsia="仿宋_GB2312"/>
          <w:b w:val="0"/>
          <w:color w:val="000000"/>
          <w:sz w:val="32"/>
        </w:rPr>
        <w:t>发展展望：阳谷县实施电线电缆产业转型升级三年行动方案，推动科技创新与智能制造，公司有望受益；新能源、轨交、特种线缆需求增长。挑战在于诉讼合规、铜价波动与回款。</w:t>
      </w:r>
    </w:p>
    <w:p>
      <w:pPr>
        <w:spacing w:lineRule="exact" w:line="600" w:before="0" w:after="0"/>
        <w:ind w:firstLine="420"/>
        <w:jc w:val="both"/>
      </w:pPr>
      <w:r>
        <w:rPr>
          <w:rFonts w:ascii="仿宋_GB2312" w:hAnsi="仿宋_GB2312" w:eastAsia="仿宋_GB2312"/>
          <w:b w:val="0"/>
          <w:color w:val="000000"/>
          <w:sz w:val="32"/>
        </w:rPr>
        <w:t>建议：山东投资以供应链金融（大客户应收账款保理）与融资租赁切入，借国资参股背景强化风控；投前须核查206起涉诉关系性质、取得近三年财务，并推动其规范治理与合规整改。</w:t>
      </w:r>
    </w:p>
    <w:p>
      <w:pPr>
        <w:spacing w:lineRule="exact" w:line="600" w:before="0" w:after="0"/>
        <w:jc w:val="left"/>
      </w:pPr>
      <w:r>
        <w:rPr>
          <w:rFonts w:ascii="仿宋_GB2312" w:hAnsi="仿宋_GB2312" w:eastAsia="仿宋_GB2312"/>
          <w:b w:val="0"/>
          <w:color w:val="000000"/>
          <w:sz w:val="28"/>
        </w:rPr>
        <w:t>数据来源说明：1）天眼查（tianyancha.com/company/103160399）与企查查（qcc.com）工商、股东与社保；2）爱企查（baidu.com）知识产权与风险；3）公司官网（ygdljt.com.cn）简介与荣誉；4）快懂百科“山东阳谷电缆集团有限公司”词条（2016年营收102亿）。近三年财务数据未公开披露，未编造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