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山东聊城阳谷（铜及铜深加工）特色产业集群</w:t>
      </w:r>
    </w:p>
    <w:p>
      <w:pPr>
        <w:spacing w:lineRule="exact" w:line="600" w:before="240" w:after="240"/>
        <w:ind w:firstLine="0"/>
        <w:jc w:val="center"/>
      </w:pPr>
      <w:r>
        <w:rPr>
          <w:rFonts w:ascii="方正小标宋简体" w:hAnsi="方正小标宋简体" w:eastAsia="方正小标宋简体"/>
          <w:b w:val="0"/>
          <w:color w:val="000000"/>
          <w:sz w:val="44"/>
        </w:rPr>
        <w:t>阳谷祥光铜业有限公司企业分析报告</w:t>
      </w:r>
    </w:p>
    <w:p>
      <w:pPr>
        <w:spacing w:lineRule="exact" w:line="600" w:before="0" w:after="0"/>
        <w:jc w:val="left"/>
      </w:pPr>
      <w:r>
        <w:rPr>
          <w:rFonts w:ascii="仿宋_GB2312" w:hAnsi="仿宋_GB2312" w:eastAsia="仿宋_GB2312"/>
          <w:b w:val="0"/>
          <w:color w:val="000000"/>
          <w:sz w:val="28"/>
        </w:rPr>
        <w:t>（本报告数据来源于中国有色金属报《资源再生》2026年4月报道、天眼查/企查查工商信息、公司官网（xiangguang.com）及公开重整披露，统计时点截至2025年。公司为非上市企业，2024年6月由厦门建发股份通过阳谷建发成为控股股东（国企控股）。财务数据为重整披露与公开报道口径，非经审计年报，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阳谷祥光铜业有限公司成立于2005年1月6日，登记机关为阳谷县市场监督管理局，登记状态为在营（开业）企业。法定代表人为王砥，统一社会信用代码91371521769728295B，注册地址位于山东省阳谷县石佛镇祥光路1号。</w:t>
      </w:r>
    </w:p>
    <w:p>
      <w:pPr>
        <w:spacing w:lineRule="exact" w:line="600" w:before="0" w:after="0"/>
        <w:ind w:firstLine="420"/>
        <w:jc w:val="both"/>
      </w:pPr>
      <w:r>
        <w:rPr>
          <w:rFonts w:ascii="仿宋_GB2312" w:hAnsi="仿宋_GB2312" w:eastAsia="仿宋_GB2312"/>
          <w:b w:val="0"/>
          <w:color w:val="000000"/>
          <w:sz w:val="32"/>
        </w:rPr>
        <w:t>公司注册资本705,970.15万元人民币（约70.6亿元），实缴资本同额，企业类型为其他有限责任公司。2024年6月重整后股东为：阳谷建发有色金属有限责任公司持股67%（大股东、控股股东），阳谷昆仑云信企业管理有限公司持股33%。阳谷建发为厦门建发股份有限公司（建发股份，上交所上市，世界500强建发集团核心企业）子公司，故公司实际控制人为建发股份（厦门市国资委下属建发集团体系），系国企控股企业。所属行业为有色金属冶炼和压延加工业，2025年报参保人数1,822人，人员规模1,000–1,999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公司为大型铜冶炼企业，重整后由建发股份体系控股，管理层设董事长兼总经理王砥等9名主要人员。公司作为祥光生态工业园（千亿级）龙头企业，带动铜精深加工产业链协同发展。</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2005年设立，采用国际领先的“闪速熔炼+闪速吹炼”（双闪）工艺，系全球继美国肯尼柯特之后第二家、单系统熔炼能力最大的铜冶炼企业，2008年列入国家发改委第一批符合《铜冶炼行业准入条件》七家企业之一，同年获评全国十家“国家环境友好工程”之一，并被列入第一批允许铜精矿加工贸易的七家企业之一。公司自主研发“超强化旋浮铜冶炼技术”打破国外垄断，获国家科技进步奖二等奖。</w:t>
      </w:r>
    </w:p>
    <w:p>
      <w:pPr>
        <w:spacing w:lineRule="exact" w:line="600" w:before="0" w:after="0"/>
        <w:ind w:firstLine="420"/>
        <w:jc w:val="both"/>
      </w:pPr>
      <w:r>
        <w:rPr>
          <w:rFonts w:ascii="仿宋_GB2312" w:hAnsi="仿宋_GB2312" w:eastAsia="仿宋_GB2312"/>
          <w:b w:val="0"/>
          <w:color w:val="000000"/>
          <w:sz w:val="32"/>
        </w:rPr>
        <w:t>2022年3月，受债务违约冲击，公司陷入流动性危机并全面停产；危急关头，聊城市、阳谷县两级政府纾困，建发股份主动担当。2022年4月25日，建发股份子公司阳谷建发铜业与祥光铜业签署《托管经营协议》，5月21日冶炼系统全线复产。2023年9月，阳谷县人民法院裁定批准祥光铜业等19家公司重整计划。2024年6月，建发股份通过阳谷建发成为控股股东，完成从托管到控股的身份跨越。</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大型现代化铜冶炼及稀贵金属提取企业、江北铜产业基地龙头。主营高纯阴极铜、金、银、铂、钯、铼等稀贵金属冶炼提取，以及硫酸等副产品；具备年产矿产阴极铜45万吨、再生阴极铜15万吨、黄金20吨、白银600吨、稀贵金属1,000吨、硫酸170万吨的综合产能。</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铜精矿冶炼为核心，阴极铜为主产品，副产黄金、白银、稀贵金属及硫酸。据公开报道，2024年阴极铜产量32.07万吨，产值301.2亿元；2025年阴极铜超35万吨，年产值稳定300亿元以上。收入以阴极铜销售为主，金银等稀贵金属贡献增值。</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高纯阴极铜、金、银、铂、钯、铼等稀贵金属；硫酸、氧、氩、氮、硫酸铜、精硒、硫酸镍等副产品。技术涵盖“旋浮”铜冶炼、自氧化还原粗铜精炼等高效节能工艺，并提供技术咨询、许可、培训服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阴极铜客户为下游铜加工企业、电线电缆与铜材厂商；金银等稀贵金属交售贵金属冶炼/交易商。依托建发股份全球供应链，客户渠道稳定。具体前五大客户未公开披露。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核心原料为进口铜精矿，我国铜原料对外依存度超80%。建发股份铜精矿年经营量超230万吨，托管期不到一个月即集结10余万吨铜精矿，全球采购调度能力突出。具体供应商未公开披露。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具备年产矿产阴极铜45万吨、再生阴极铜15万吨、黄金20吨、白银600吨、稀贵金属1,000吨、硫酸170万吨综合产能。持有铜冶炼准入、加工贸易、危险化学品生产（硫酸等，凭安全生产许可证）等资质，系国家级绿色工厂、国家环境友好工程。2026年3月生产设施升级改造项目备案，围绕冶炼、制酸、环保、能耗、安全五大板块升级。</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销售依托建发股份供应链与贸易网络，阴极铜面向国内铜加工集群，并开展铜精矿加工贸易。</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中国有色金属报报道：2022年复产当年总产值152.56亿元、进出口110.1亿元；2023年总产值275.6亿元；2024年阴极铜32.07万吨、产值301.2亿元（同比+9.3%）、上缴税金4.1亿元（同比+177.8%）；2025年阴极铜超35万吨、年产值稳定300亿元以上、年处理铜精矿约160万吨。公司为江北最大铜冶炼基地龙头。</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（一）近三年主要会计数据（单位：亿元，数据来源于中国有色金属报公开报道，非经审计年报）</w:t>
      </w:r>
    </w:p>
    <w:p>
      <w:pPr>
        <w:spacing w:lineRule="exact" w:line="600" w:before="0" w:after="0"/>
        <w:ind w:firstLine="420"/>
        <w:jc w:val="both"/>
      </w:pPr>
      <w:r>
        <w:rPr>
          <w:rFonts w:ascii="仿宋_GB2312" w:hAnsi="仿宋_GB2312" w:eastAsia="仿宋_GB2312"/>
          <w:b w:val="0"/>
          <w:color w:val="000000"/>
          <w:sz w:val="32"/>
        </w:rPr>
        <w:t>项目          2022年   2023年   2024年   2025年</w:t>
      </w:r>
    </w:p>
    <w:p>
      <w:pPr>
        <w:spacing w:lineRule="exact" w:line="600" w:before="0" w:after="0"/>
        <w:ind w:firstLine="420"/>
        <w:jc w:val="both"/>
      </w:pPr>
      <w:r>
        <w:rPr>
          <w:rFonts w:ascii="仿宋_GB2312" w:hAnsi="仿宋_GB2312" w:eastAsia="仿宋_GB2312"/>
          <w:b w:val="0"/>
          <w:color w:val="000000"/>
          <w:sz w:val="32"/>
        </w:rPr>
        <w:t>总产值        152.56   275.60   301.20   300+（稳定）</w:t>
      </w:r>
    </w:p>
    <w:p>
      <w:pPr>
        <w:spacing w:lineRule="exact" w:line="600" w:before="0" w:after="0"/>
        <w:ind w:firstLine="420"/>
        <w:jc w:val="both"/>
      </w:pPr>
      <w:r>
        <w:rPr>
          <w:rFonts w:ascii="仿宋_GB2312" w:hAnsi="仿宋_GB2312" w:eastAsia="仿宋_GB2312"/>
          <w:b w:val="0"/>
          <w:color w:val="000000"/>
          <w:sz w:val="32"/>
        </w:rPr>
        <w:t>阴极铜(万吨)  —        —       32.07    35+</w:t>
      </w:r>
    </w:p>
    <w:p>
      <w:pPr>
        <w:spacing w:lineRule="exact" w:line="600" w:before="0" w:after="0"/>
        <w:ind w:firstLine="420"/>
        <w:jc w:val="both"/>
      </w:pPr>
      <w:r>
        <w:rPr>
          <w:rFonts w:ascii="仿宋_GB2312" w:hAnsi="仿宋_GB2312" w:eastAsia="仿宋_GB2312"/>
          <w:b w:val="0"/>
          <w:color w:val="000000"/>
          <w:sz w:val="32"/>
        </w:rPr>
        <w:t>税金(亿元)    —        —       4.10     —</w:t>
      </w:r>
    </w:p>
    <w:p>
      <w:pPr>
        <w:spacing w:lineRule="exact" w:line="600" w:before="0" w:after="0"/>
        <w:ind w:firstLine="420"/>
        <w:jc w:val="both"/>
      </w:pPr>
      <w:r>
        <w:rPr>
          <w:rFonts w:ascii="仿宋_GB2312" w:hAnsi="仿宋_GB2312" w:eastAsia="仿宋_GB2312"/>
          <w:b w:val="0"/>
          <w:color w:val="000000"/>
          <w:sz w:val="32"/>
        </w:rPr>
        <w:t>注：上述为重整披露与媒体报道口径，非公司经审计年度财务报告。2022年系复产年，2023年为重整过渡爬坡年，2024年全面重整后满产，2025年保持满负荷运行。</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公司盈利与铜价、加工费（TC/RC）及副产金银价格高度相关。2024年产值301.2亿元、上缴税金4.1亿元（同比+177.8%），反映重整后盈利与税贡献显著恢复。具体毛利率、净利率未公开披露。</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资产质量数据（总资产、净资产）未公开披露。注册资本约70.6亿元，重整后资本结构优化，建发股份控股注入信用与资金。</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负债与偿债能力数据未公开披露。2022年债务危机经重整化解，2024年建发控股后财务结构显著改善，偿债能力增强。</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经营活动现金流数据未公开披露。铜精矿采购占用资金大，依赖建发股份供应链资金支持。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与国内铜冶炼龙头（如江西铜业、铜陵有色等上市公司）相比，祥光铜业产能规模居前列（矿产阴极铜45万吨级），但为非上市主体、财务透明度低于上市公司；其“双闪”技术与国企控股重整模式具标杆意义。</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2024年6月建发股份控股后，公司治理纳入国企体系：设董事长兼总经理王砥等董事会，建发股份委派管理团队下沉一线、挂图作战，构建全链条管控体系。作为国企控股企业，落实“三重一大”决策制度与党建引领，健全现代企业制度（据山东省委书记2024年11月调研要求）。</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法定代表人、董事长兼总经理王砥，关联企业7家；董事、副总经理马可飞，董事、财务负责人许传玢等9名主要人员，多由建发股份体系派驻。</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重整后建立全链条管控，理顺生产、财务、销售流程，破解硫酸库容、市场销售瓶颈。落实国资监管、内部审计与“三重一大”集体决策。</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2025年报参保人数1,822人（养老、医疗、失业、工伤均约1,822人），技术人员储备充足（早前介绍称员工1,600余人、技术人员350人）。公司保障2,000余名员工就业，是区域就业与产业链稳定支柱。</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技术壁垒：“双闪”+“超强化旋浮铜冶炼”技术国际领先、获国家科技进步奖二等奖并实现技术逆向出口；二是规模与准入：45万吨级矿产阴极铜产能、国家铜冶炼准入与加工贸易资质；三是资源与绿色：国家级绿色工厂、稀贵金属综合回收；四是国资赋能：建发股份（世界500强）控股，全球铜精矿供应链调度与资金信用优势；五是链主地位：祥光生态工业园龙头，带动江北铜产业集群。</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原料对外依存风险：铜精矿对外依存度超80%，进口周期长、地缘政治与运费波动影响供应；二是价格波动风险：铜价及加工费波动直接影响盈利；三是环保与安全的风险：冶炼属重污染、高危行业，受环保监管重点（2026年列入阳谷县土壤重点监管单位）；四是历史债务风险：2022年债务危机虽经重整化解，但仍需关注遗留诉讼与信用修复；五是能耗与碳约束：双碳目标下节能降碳压力。公司已通过建发供应链保障、绿色技改（2026年升级项目）、现代治理与环保提标应对。</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国企控股的大型铜冶炼链主，公司与山东投资协同空间大：一是供应链金融，针对其铜精矿进口与阴极铜销售提供应收账款/仓单保理与预付款融资（依托建发信用）；二是融资租赁，支持2026年生产设施升级改造项目的环保与设备投入；三是产业基金，支持再生铜利用与铜精深加工布局。建议山东投资以“国企信用+供应链场景”为核心，优先切入铜精矿采购端预付与阴极铜销售端保理，风险可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阳谷祥光铜业有限公司是我国铜冶炼行业风险化解与国企重整整合并购的标杆，建发股份控股后实现“涅槃重生”，产能满负荷、产值稳定300亿元级以上，技术国际领先、国资赋能显著。综合判断：公司已成为江北最大铜冶炼基地龙头，资产与经营质量大幅改善。</w:t>
      </w:r>
    </w:p>
    <w:p>
      <w:pPr>
        <w:spacing w:lineRule="exact" w:line="600" w:before="0" w:after="0"/>
        <w:ind w:firstLine="420"/>
        <w:jc w:val="both"/>
      </w:pPr>
      <w:r>
        <w:rPr>
          <w:rFonts w:ascii="仿宋_GB2312" w:hAnsi="仿宋_GB2312" w:eastAsia="仿宋_GB2312"/>
          <w:b w:val="0"/>
          <w:color w:val="000000"/>
          <w:sz w:val="32"/>
        </w:rPr>
        <w:t>发展展望：据公司“十五五”规划，将强化全球资源保障、加快绿色转型、推进科技创新与数字智能工厂建设，打造世界一流全产业链铜冶炼企业。挑战在于原料对外依存、价格波动、环保与碳约束。</w:t>
      </w:r>
    </w:p>
    <w:p>
      <w:pPr>
        <w:spacing w:lineRule="exact" w:line="600" w:before="0" w:after="0"/>
        <w:ind w:firstLine="420"/>
        <w:jc w:val="both"/>
      </w:pPr>
      <w:r>
        <w:rPr>
          <w:rFonts w:ascii="仿宋_GB2312" w:hAnsi="仿宋_GB2312" w:eastAsia="仿宋_GB2312"/>
          <w:b w:val="0"/>
          <w:color w:val="000000"/>
          <w:sz w:val="32"/>
        </w:rPr>
        <w:t>建议：山东投资将其列为铜及铜深加工集群核心协同对象，以供应链金融与升级改造融资租赁切入，借建发股份国资信用控制风险；同时关注其环保合规与原料保障，支持其向铜精深加工延伸以提升附加值。</w:t>
      </w:r>
    </w:p>
    <w:p>
      <w:pPr>
        <w:spacing w:lineRule="exact" w:line="600" w:before="0" w:after="0"/>
        <w:jc w:val="left"/>
      </w:pPr>
      <w:r>
        <w:rPr>
          <w:rFonts w:ascii="仿宋_GB2312" w:hAnsi="仿宋_GB2312" w:eastAsia="仿宋_GB2312"/>
          <w:b w:val="0"/>
          <w:color w:val="000000"/>
          <w:sz w:val="28"/>
        </w:rPr>
        <w:t>数据来源说明：1）中国有色金属报《资源再生》2026年4月报道《“涅槃重生”向新行 链通铜业谱新篇》（祥光铜业重整4周年纪实）；2）天眼查（tianyancha.com/company/25944916）与企查查（qcc.com）工商、股东与社保信息；3）公司官网（xiangguang.com）业务与成就；4）厦门建发股份有限公司公开信息（世界500强、铜精矿年经营量等）。财务数据为重整披露与媒体报道口径，非经审计年报，未编造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