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山东肥城（岩盐医养健康）特色产业集群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山东大汉医疗股份有限公司企业分析报告</w:t>
      </w:r>
    </w:p>
    <w:p>
      <w:pPr>
        <w:spacing w:lineRule="exact" w:line="600" w:before="0" w:after="0"/>
        <w:jc w:val="left"/>
      </w:pPr>
      <w:r>
        <w:rPr>
          <w:rFonts w:ascii="仿宋_GB2312" w:hAnsi="仿宋_GB2312" w:eastAsia="仿宋_GB2312"/>
          <w:b w:val="0"/>
          <w:color w:val="000000"/>
          <w:sz w:val="28"/>
        </w:rPr>
        <w:t>（本报告数据来源于天眼查/企查查/爱企查企业工商信息、公司官网（dahanyiliao.com）、肥城融媒公开报道（2026）、信用中国处罚公开信息（2025）等公开渠道。非上市民营企业，2025年营业收入（约1.23亿元）引自第三方企业信用平台估算，非审计财报，已注明。）</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大汉医疗股份有限公司成立于2006年4月30日，法定代表人为颜丙豹（董事长），注册资本6,600万元人民币，统一社会信用代码91370983788488055J，注册地址为肥城市泰临路002号，企业类型为股份有限公司（非上市、自然人投资或控股），登记状态存续。实际控制人为颜丙豹。</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公司以医用中心供气工程、医用洁净工程系统、医用射线防护与核医学工程三大板块为主，提供咨询、规划设计、产品研发、产品供应、工程施工、运维托管一体化服务；厂区占地106亩。</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2006年落户肥城，专注医疗专业工程；2023年入选省级专精特新中小企业，2025年获国家级高新技术企业认定，2026年被评为山东省创新型中小企业并入选山东政府采购医疗设备行业服务质量50强。</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公司定位为医疗专业工程一体化服务商，主营医用中心供氧/吸引系统、呼吸麻醉急救器械相关工程、医用洁净工程、医用射线防护与屏蔽工程，服务客户涵盖公立医院、疾控中心、高校、检验检测机构等。</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三大板块：医用中心供气系统、医用洁净工程系统、医用射线防护与核医学工程，以工程总包与设备集成收入为主。据第三方平台估算，2025年营业收入约1.23亿元（非审计，仅供参考）；具体板块收入拆分未公开。</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医用中心供氧/吸引系统、医用洁净手术部与ICU工程、医用射线防护与核医学工程、医用空气加压氧舱等；提供从咨询、规划、设计到施工的整体解决方案。</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客户为公立医院、疾控中心、高校、检验检测机构等（含政府采购），以国内为主；具体前五大客户未公开。</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主要采购医疗设备、建材、净化与防护材料，供应商分散。</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持有第二类、第三类医疗器械生产/经营、特种设备安装改造修理、建设工程施工、建筑智能化系统设计等许可；获国家级高新技术企业、省级专精特新、省级创新型中小企业认定。参保约63人（2025年）。</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以招投标与直销为主，参与医院基建与政府采购项目。</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在医用中心供气与洁净工程细分领域具区域竞争力，入选山东政府采购医疗设备行业服务质量50强；具体市场份额未公开。</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0" w:after="0"/>
        <w:ind w:firstLine="420"/>
        <w:jc w:val="both"/>
      </w:pPr>
      <w:r>
        <w:rPr>
          <w:rFonts w:ascii="仿宋_GB2312" w:hAnsi="仿宋_GB2312" w:eastAsia="仿宋_GB2312"/>
          <w:b w:val="0"/>
          <w:color w:val="000000"/>
          <w:sz w:val="32"/>
        </w:rPr>
        <w:t>山东大汉医疗为非上市民营企业，未公开审计财报。据第三方企业信用平台估算，2025年营业收入约1.23亿元（非审计，仅供参考）；其余年度营收、毛利率、资产负债率、经营现金流等未公开披露，特此如实标注，不对具体科目进行估计。</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非上市股份有限公司，董事长颜丙豹，设董事会、监事会及经理层；自然人控股。</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董事长、法定代表人颜丙豹，具医疗工程专业工程背景，为企业实际控制人。</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通过医疗器械生产/经营许可与工程资质开展业务；但2025年因招投标串标被行政处罚（见风险分析），反映合规管理存在短板。</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参保约63人（2025年），为科技型中小企业；研发与工程技术人员构成核心队伍。</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资质壁垒：第二类/第三类医疗器械生产、特种设备安装、洁净与防护工程资质齐全；二是一体化能力：咨询—设计—施工—运维全链条；三是技术认定：国家级高新技术企业、省级专精特新；四是客户资源：公立医院与政府采购渠道积累；五是细分优势：医用空气加压氧舱等专有设备竞争力。</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0" w:after="0"/>
        <w:ind w:firstLine="420"/>
        <w:jc w:val="both"/>
      </w:pPr>
      <w:r>
        <w:rPr>
          <w:rFonts w:ascii="仿宋_GB2312" w:hAnsi="仿宋_GB2312" w:eastAsia="仿宋_GB2312"/>
          <w:b w:val="0"/>
          <w:color w:val="000000"/>
          <w:sz w:val="32"/>
        </w:rPr>
        <w:t>一是合规与诚信风险：2025年12月因投标文件高度雷同被认定为串标，被齐齐哈尔市住建局处罚款4.878174万元（齐建罚决〔2025〕024-1号），影响商业信誉，须重点整改；二是医疗工程周期与回款风险：医院/政府项目结算周期长、应收账款高；三是资质与监管风险：医疗器械与工程监管趋严；四是规模偏小风险：营收估算约1.23亿元。应对措施：健全招投标合规体系、强化内控、拓展多元客户。</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作为医疗工程专业民企，可协同方向：一是保理，盘活医院/政府项目应收账款；二是融资租赁，支持医用设备与工程装备投入；三是小额贷款，满足投标保证金与流动资金；四是关注其扩产与研发的债权机会。</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山东大汉医疗是肥城岩盐医养健康集群中以医用工程为核心的专精特新高新技术企业，资质与一体化能力突出，但存在串标处罚的合规瑕疵且规模偏小。发展展望：医养健康与医院基建需求稳健，洁净与供氧工程空间持续。建议：山东投资协同以保理、融资租赁、小贷为主，介入前须重点核查处罚整改与招投标合规、评估应收账款质量，控制信用与合规风险。</w:t>
      </w:r>
    </w:p>
    <w:p>
      <w:pPr>
        <w:spacing w:lineRule="exact" w:line="600" w:before="0" w:after="0"/>
        <w:jc w:val="left"/>
      </w:pPr>
      <w:r>
        <w:rPr>
          <w:rFonts w:ascii="仿宋_GB2312" w:hAnsi="仿宋_GB2312" w:eastAsia="仿宋_GB2312"/>
          <w:b w:val="0"/>
          <w:color w:val="000000"/>
          <w:sz w:val="28"/>
        </w:rPr>
        <w:t>数据来源说明：天眼查/企查查/爱企查企业工商信息，公司官网dahanyiliao.com，肥城融媒公开报道（2026年度山东省创新型中小企业），信用中国/公开处罚信息（齐建罚决〔2025〕024-1号）。2025年营业收入引自第三方平台估算，非审计财报，已注明。</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