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山东菏泽成武（输变电装备）特色产业集群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山东达驰电气有限公司企业分析报告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及天眼查、企查查、启信宝工商登记信息，山东产权交易中心公开公告，海信集团及海信网络能源官方信息披露，菏泽日报、经济观察报、界面新闻、证券时报等权威媒体公开报道，成武县人民政府及菏泽市官方公开信息，统计时点截至2026年8月。公司为非上市有限责任公司，现由海信网络能源持股65%为控股股东，未公开披露经审计的定期财务报告，本报告中凡涉及具体财务数据之处均如实标注"财务数据未公开披露"，不作任何估算与推断；公开报道中的"产值"为工业总产值口径，已与营业收入区分引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（一）产业集群背景</w:t>
      </w:r>
    </w:p>
    <w:p>
      <w:pPr>
        <w:spacing w:lineRule="exact" w:line="600" w:before="0" w:after="0"/>
        <w:ind w:firstLine="420"/>
        <w:jc w:val="both"/>
      </w:pPr>
      <w:r>
        <w:rPr>
          <w:rFonts w:ascii="仿宋_GB2312" w:hAnsi="仿宋_GB2312" w:eastAsia="仿宋_GB2312"/>
          <w:b w:val="0"/>
          <w:color w:val="000000"/>
          <w:sz w:val="32"/>
        </w:rPr>
        <w:t>成武县隶属山东省菏泽市，输变电装备产业是当地的首位主导产业，起步早、基础厚、链条完整。经过数十年发展，成武以山东达驰电气为链主企业，逐步形成了以电力变压器、封闭母线、高低压开关柜、箱式变电站、电磁线及线路器材为核心的产业体系，产品广泛应用于国家电网、南方电网、高铁、新能源电站及卫星发射基地等国家重点工程。其中，山东达驰电气拥有七十余年变压器制造历史，是集群当之无愧的领航企业与技术策源地，并由此孵化带动了县域内一批配套与衍生企业，在鲁西南地区形成了具有全国影响力的输变电装备产业集聚区。</w:t>
      </w:r>
    </w:p>
    <w:p>
      <w:pPr>
        <w:spacing w:lineRule="exact" w:line="600" w:before="0" w:after="0"/>
        <w:ind w:firstLine="420"/>
        <w:jc w:val="both"/>
      </w:pPr>
      <w:r>
        <w:rPr>
          <w:rFonts w:ascii="仿宋_GB2312" w:hAnsi="仿宋_GB2312" w:eastAsia="仿宋_GB2312"/>
          <w:b w:val="0"/>
          <w:color w:val="000000"/>
          <w:sz w:val="32"/>
        </w:rPr>
        <w:t>据成武县官方公开报道，以达驰电气为龙头，成武输变电装备集群已孵化出48家规模以上企业与137家中小微企业，构建起省级特色产业集群与"雁阵形"产业集群。2024年，成武县规模以上输变电装备企业实现营业收入55亿元。该集群先后获评山东省输变电优质产品生产基地、省级电工电气重点产业集群、山东省特色产业集群、山东省"十强"产业"雁阵形"集群、山东省首批产业链数字经济总部项目、山东省首批"产业大脑"建设试点，并依托省级工业互联网平台"云电链"实现产业链上下游资源整合与数字化协同。</w:t>
      </w:r>
    </w:p>
    <w:p>
      <w:pPr>
        <w:spacing w:lineRule="exact" w:line="600" w:before="0" w:after="0"/>
        <w:ind w:firstLine="420"/>
        <w:jc w:val="both"/>
      </w:pPr>
      <w:r>
        <w:rPr>
          <w:rFonts w:ascii="仿宋_GB2312" w:hAnsi="仿宋_GB2312" w:eastAsia="仿宋_GB2312"/>
          <w:b w:val="0"/>
          <w:color w:val="000000"/>
          <w:sz w:val="32"/>
        </w:rPr>
        <w:t>集群内重点企业近年来动作频频、能级跃升。链主企业山东达驰电气2025年实现产值13.8亿元、同比增长23.6%，2026年4月成功引入海信集团战略并购——青岛海信网络能源股份有限公司以约8.57亿元受让达驰电气、达驰高压开关、水发驰翔（驰翔电气）三家公司各65%股权及相应债权，企业全面融入海信智慧能源产业版图，并提出2026年营收20亿元、三年内突破50亿元的发展目标。同为集群骨干的山东迅驰电气于2024年新增投资4.2亿元上马330KV高性能变压器生产线，新产线投产后当年实现销售收入1.3亿元；中外合资的山东达驰阿尔发电气则在封闭母线领域成长为国家级专精特新"小巨人"企业。成武县坚持"工业立县"战略，2024年全县实现地区生产总值265亿元、增长约6.7%，为产业集群发展提供了坚实的县域经济支撑。</w:t>
      </w:r>
    </w:p>
    <w:p>
      <w:pPr>
        <w:spacing w:lineRule="exact" w:line="600" w:before="0" w:after="0"/>
        <w:ind w:firstLine="420"/>
        <w:jc w:val="both"/>
      </w:pPr>
      <w:r>
        <w:rPr>
          <w:rFonts w:ascii="仿宋_GB2312" w:hAnsi="仿宋_GB2312" w:eastAsia="仿宋_GB2312"/>
          <w:b w:val="0"/>
          <w:color w:val="000000"/>
          <w:sz w:val="32"/>
        </w:rPr>
        <w:t>从产业属性看，输变电装备属于电力装备制造业（电工电器）范畴，是支撑电网建设、能源转型与新型工业化的基础性产业。其上游为取向硅钢、铜铝导体、绝缘材料、电磁线、钢材等大宗原材料，中游为变压器、开关柜、封闭母线、电缆、电抗器等核心设备，下游为电网公司（国网、南网）、新能源（风、光、储）、工矿企业、基础设施与轨道交通。行业具有典型的"三高"特征：一是资质壁垒高，产品须通过生产许可、型式试验、入网资质（如国网供应商资质）等刚性门槛；二是客户高度集中，电网公司与大型发电集团占据采购主导；三是技术资金密集、重资产、订单制生产、回款周期较长。同时，在"双碳"目标与AI数据中心用电爆发背景下，高效节能变压器、高压及超高压设备、智能变电装备需求持续扩容，行业正由传统制造向高端化、智能化、绿色化加速演进。</w:t>
      </w:r>
    </w:p>
    <w:p>
      <w:pPr>
        <w:spacing w:lineRule="exact" w:line="600" w:before="120" w:after="120"/>
        <w:ind w:firstLine="420"/>
        <w:jc w:val="left"/>
      </w:pPr>
      <w:r>
        <w:rPr>
          <w:rFonts w:ascii="楷体_GB2312" w:hAnsi="楷体_GB2312" w:eastAsia="楷体_GB2312"/>
          <w:b w:val="0"/>
          <w:color w:val="000000"/>
          <w:sz w:val="32"/>
        </w:rPr>
        <w:t>（二）企业沿革与工商登记信息</w:t>
      </w:r>
    </w:p>
    <w:p>
      <w:pPr>
        <w:spacing w:lineRule="exact" w:line="600" w:before="0" w:after="0"/>
        <w:ind w:firstLine="420"/>
        <w:jc w:val="both"/>
      </w:pPr>
      <w:r>
        <w:rPr>
          <w:rFonts w:ascii="仿宋_GB2312" w:hAnsi="仿宋_GB2312" w:eastAsia="仿宋_GB2312"/>
          <w:b w:val="0"/>
          <w:color w:val="000000"/>
          <w:sz w:val="32"/>
        </w:rPr>
        <w:t>山东达驰电气有限公司是成武输变电装备产业集群的链主企业与领航者，其变压器制造历史可追溯至上世纪五十年代，是山东省乃至全国较早从事电力变压器研制的企业之一，至今已拥有七十余年的技术积淀与品牌沉淀。企业注册地址位于山东省菏泽市成武县，正处于全县输变电装备产业最为集中的核心区域。经过多轮体制改革与战略重组，公司由地方性国营机械厂逐步发展为现代化输变电装备制造企业，并在近年完成从省属国资到头部民企战略入主的关键跨越。</w:t>
      </w:r>
    </w:p>
    <w:tbl>
      <w:tblPr>
        <w:tblStyle w:val="TableGrid"/>
        <w:tblW w:type="auto" w:w="0"/>
        <w:jc w:val="center"/>
        <w:tblLook w:firstColumn="1" w:firstRow="1" w:lastColumn="0" w:lastRow="0" w:noHBand="0" w:noVBand="1" w:val="04A0"/>
      </w:tblPr>
      <w:tblGrid>
        <w:gridCol w:w="4422"/>
        <w:gridCol w:w="4422"/>
      </w:tblGrid>
      <w:tr>
        <w:tc>
          <w:tcPr>
            <w:tcW w:type="dxa" w:w="4422"/>
          </w:tcPr>
          <w:p>
            <w:pPr>
              <w:spacing w:lineRule="exact" w:line="600"/>
              <w:jc w:val="center"/>
            </w:pPr>
            <w:r/>
            <w:r>
              <w:rPr>
                <w:rFonts w:ascii="黑体" w:hAnsi="黑体" w:eastAsia="黑体"/>
                <w:b/>
                <w:color w:val="000000"/>
                <w:sz w:val="32"/>
              </w:rPr>
              <w:t>登记项目</w:t>
            </w:r>
          </w:p>
        </w:tc>
        <w:tc>
          <w:tcPr>
            <w:tcW w:type="dxa" w:w="4422"/>
          </w:tcPr>
          <w:p>
            <w:pPr>
              <w:spacing w:lineRule="exact" w:line="600"/>
              <w:jc w:val="center"/>
            </w:pPr>
            <w:r/>
            <w:r>
              <w:rPr>
                <w:rFonts w:ascii="黑体" w:hAnsi="黑体" w:eastAsia="黑体"/>
                <w:b/>
                <w:color w:val="000000"/>
                <w:sz w:val="32"/>
              </w:rPr>
              <w:t>登记内容</w:t>
            </w:r>
          </w:p>
        </w:tc>
      </w:tr>
      <w:tr>
        <w:tc>
          <w:tcPr>
            <w:tcW w:type="dxa" w:w="4422"/>
          </w:tcPr>
          <w:p>
            <w:pPr>
              <w:spacing w:lineRule="exact" w:line="600"/>
              <w:jc w:val="center"/>
            </w:pPr>
            <w:r/>
            <w:r>
              <w:rPr>
                <w:rFonts w:ascii="仿宋_GB2312" w:hAnsi="仿宋_GB2312" w:eastAsia="仿宋_GB2312"/>
                <w:b w:val="0"/>
                <w:color w:val="000000"/>
                <w:sz w:val="32"/>
              </w:rPr>
              <w:t>企业名称</w:t>
            </w:r>
          </w:p>
        </w:tc>
        <w:tc>
          <w:tcPr>
            <w:tcW w:type="dxa" w:w="4422"/>
          </w:tcPr>
          <w:p>
            <w:pPr>
              <w:spacing w:lineRule="exact" w:line="600"/>
              <w:jc w:val="center"/>
            </w:pPr>
            <w:r/>
            <w:r>
              <w:rPr>
                <w:rFonts w:ascii="仿宋_GB2312" w:hAnsi="仿宋_GB2312" w:eastAsia="仿宋_GB2312"/>
                <w:b w:val="0"/>
                <w:color w:val="000000"/>
                <w:sz w:val="32"/>
              </w:rPr>
              <w:t>山东达驰电气有限公司</w:t>
            </w:r>
          </w:p>
        </w:tc>
      </w:tr>
      <w:tr>
        <w:tc>
          <w:tcPr>
            <w:tcW w:type="dxa" w:w="4422"/>
          </w:tcPr>
          <w:p>
            <w:pPr>
              <w:spacing w:lineRule="exact" w:line="600"/>
              <w:jc w:val="center"/>
            </w:pPr>
            <w:r/>
            <w:r>
              <w:rPr>
                <w:rFonts w:ascii="仿宋_GB2312" w:hAnsi="仿宋_GB2312" w:eastAsia="仿宋_GB2312"/>
                <w:b w:val="0"/>
                <w:color w:val="000000"/>
                <w:sz w:val="32"/>
              </w:rPr>
              <w:t>统一社会信用代码</w:t>
            </w:r>
          </w:p>
        </w:tc>
        <w:tc>
          <w:tcPr>
            <w:tcW w:type="dxa" w:w="4422"/>
          </w:tcPr>
          <w:p>
            <w:pPr>
              <w:spacing w:lineRule="exact" w:line="600"/>
              <w:jc w:val="center"/>
            </w:pPr>
            <w:r/>
            <w:r>
              <w:rPr>
                <w:rFonts w:ascii="仿宋_GB2312" w:hAnsi="仿宋_GB2312" w:eastAsia="仿宋_GB2312"/>
                <w:b w:val="0"/>
                <w:color w:val="000000"/>
                <w:sz w:val="32"/>
              </w:rPr>
              <w:t>91371700720758629B</w:t>
            </w:r>
          </w:p>
        </w:tc>
      </w:tr>
      <w:tr>
        <w:tc>
          <w:tcPr>
            <w:tcW w:type="dxa" w:w="4422"/>
          </w:tcPr>
          <w:p>
            <w:pPr>
              <w:spacing w:lineRule="exact" w:line="600"/>
              <w:jc w:val="center"/>
            </w:pPr>
            <w:r/>
            <w:r>
              <w:rPr>
                <w:rFonts w:ascii="仿宋_GB2312" w:hAnsi="仿宋_GB2312" w:eastAsia="仿宋_GB2312"/>
                <w:b w:val="0"/>
                <w:color w:val="000000"/>
                <w:sz w:val="32"/>
              </w:rPr>
              <w:t>企业类型</w:t>
            </w:r>
          </w:p>
        </w:tc>
        <w:tc>
          <w:tcPr>
            <w:tcW w:type="dxa" w:w="4422"/>
          </w:tcPr>
          <w:p>
            <w:pPr>
              <w:spacing w:lineRule="exact" w:line="600"/>
              <w:jc w:val="center"/>
            </w:pPr>
            <w:r/>
            <w:r>
              <w:rPr>
                <w:rFonts w:ascii="仿宋_GB2312" w:hAnsi="仿宋_GB2312" w:eastAsia="仿宋_GB2312"/>
                <w:b w:val="0"/>
                <w:color w:val="000000"/>
                <w:sz w:val="32"/>
              </w:rPr>
              <w:t>有限责任公司（原为国有控股，现海信持股65%）</w:t>
            </w:r>
          </w:p>
        </w:tc>
      </w:tr>
      <w:tr>
        <w:tc>
          <w:tcPr>
            <w:tcW w:type="dxa" w:w="4422"/>
          </w:tcPr>
          <w:p>
            <w:pPr>
              <w:spacing w:lineRule="exact" w:line="600"/>
              <w:jc w:val="center"/>
            </w:pPr>
            <w:r/>
            <w:r>
              <w:rPr>
                <w:rFonts w:ascii="仿宋_GB2312" w:hAnsi="仿宋_GB2312" w:eastAsia="仿宋_GB2312"/>
                <w:b w:val="0"/>
                <w:color w:val="000000"/>
                <w:sz w:val="32"/>
              </w:rPr>
              <w:t>成立日期</w:t>
            </w:r>
          </w:p>
        </w:tc>
        <w:tc>
          <w:tcPr>
            <w:tcW w:type="dxa" w:w="4422"/>
          </w:tcPr>
          <w:p>
            <w:pPr>
              <w:spacing w:lineRule="exact" w:line="600"/>
              <w:jc w:val="center"/>
            </w:pPr>
            <w:r/>
            <w:r>
              <w:rPr>
                <w:rFonts w:ascii="仿宋_GB2312" w:hAnsi="仿宋_GB2312" w:eastAsia="仿宋_GB2312"/>
                <w:b w:val="0"/>
                <w:color w:val="000000"/>
                <w:sz w:val="32"/>
              </w:rPr>
              <w:t>工商登记档案记载为1999年前后（企业制造历史逾70年）</w:t>
            </w:r>
          </w:p>
        </w:tc>
      </w:tr>
      <w:tr>
        <w:tc>
          <w:tcPr>
            <w:tcW w:type="dxa" w:w="4422"/>
          </w:tcPr>
          <w:p>
            <w:pPr>
              <w:spacing w:lineRule="exact" w:line="600"/>
              <w:jc w:val="center"/>
            </w:pPr>
            <w:r/>
            <w:r>
              <w:rPr>
                <w:rFonts w:ascii="仿宋_GB2312" w:hAnsi="仿宋_GB2312" w:eastAsia="仿宋_GB2312"/>
                <w:b w:val="0"/>
                <w:color w:val="000000"/>
                <w:sz w:val="32"/>
              </w:rPr>
              <w:t>登记状态</w:t>
            </w:r>
          </w:p>
        </w:tc>
        <w:tc>
          <w:tcPr>
            <w:tcW w:type="dxa" w:w="4422"/>
          </w:tcPr>
          <w:p>
            <w:pPr>
              <w:spacing w:lineRule="exact" w:line="600"/>
              <w:jc w:val="center"/>
            </w:pPr>
            <w:r/>
            <w:r>
              <w:rPr>
                <w:rFonts w:ascii="仿宋_GB2312" w:hAnsi="仿宋_GB2312" w:eastAsia="仿宋_GB2312"/>
                <w:b w:val="0"/>
                <w:color w:val="000000"/>
                <w:sz w:val="32"/>
              </w:rPr>
              <w:t>存续（在营、开业、在册）</w:t>
            </w:r>
          </w:p>
        </w:tc>
      </w:tr>
      <w:tr>
        <w:tc>
          <w:tcPr>
            <w:tcW w:type="dxa" w:w="4422"/>
          </w:tcPr>
          <w:p>
            <w:pPr>
              <w:spacing w:lineRule="exact" w:line="600"/>
              <w:jc w:val="center"/>
            </w:pPr>
            <w:r/>
            <w:r>
              <w:rPr>
                <w:rFonts w:ascii="仿宋_GB2312" w:hAnsi="仿宋_GB2312" w:eastAsia="仿宋_GB2312"/>
                <w:b w:val="0"/>
                <w:color w:val="000000"/>
                <w:sz w:val="32"/>
              </w:rPr>
              <w:t>注册资本</w:t>
            </w:r>
          </w:p>
        </w:tc>
        <w:tc>
          <w:tcPr>
            <w:tcW w:type="dxa" w:w="4422"/>
          </w:tcPr>
          <w:p>
            <w:pPr>
              <w:spacing w:lineRule="exact" w:line="600"/>
              <w:jc w:val="center"/>
            </w:pPr>
            <w:r/>
            <w:r>
              <w:rPr>
                <w:rFonts w:ascii="仿宋_GB2312" w:hAnsi="仿宋_GB2312" w:eastAsia="仿宋_GB2312"/>
                <w:b w:val="0"/>
                <w:color w:val="000000"/>
                <w:sz w:val="32"/>
              </w:rPr>
              <w:t>约10498.67万元人民币</w:t>
            </w:r>
          </w:p>
        </w:tc>
      </w:tr>
      <w:tr>
        <w:tc>
          <w:tcPr>
            <w:tcW w:type="dxa" w:w="4422"/>
          </w:tcPr>
          <w:p>
            <w:pPr>
              <w:spacing w:lineRule="exact" w:line="600"/>
              <w:jc w:val="center"/>
            </w:pPr>
            <w:r/>
            <w:r>
              <w:rPr>
                <w:rFonts w:ascii="仿宋_GB2312" w:hAnsi="仿宋_GB2312" w:eastAsia="仿宋_GB2312"/>
                <w:b w:val="0"/>
                <w:color w:val="000000"/>
                <w:sz w:val="32"/>
              </w:rPr>
              <w:t>法定代表人</w:t>
            </w:r>
          </w:p>
        </w:tc>
        <w:tc>
          <w:tcPr>
            <w:tcW w:type="dxa" w:w="4422"/>
          </w:tcPr>
          <w:p>
            <w:pPr>
              <w:spacing w:lineRule="exact" w:line="600"/>
              <w:jc w:val="center"/>
            </w:pPr>
            <w:r/>
            <w:r>
              <w:rPr>
                <w:rFonts w:ascii="仿宋_GB2312" w:hAnsi="仿宋_GB2312" w:eastAsia="仿宋_GB2312"/>
                <w:b w:val="0"/>
                <w:color w:val="000000"/>
                <w:sz w:val="32"/>
              </w:rPr>
              <w:t>刘志国（以国家企业信用信息公示系统最新核准为准）</w:t>
            </w:r>
          </w:p>
        </w:tc>
      </w:tr>
      <w:tr>
        <w:tc>
          <w:tcPr>
            <w:tcW w:type="dxa" w:w="4422"/>
          </w:tcPr>
          <w:p>
            <w:pPr>
              <w:spacing w:lineRule="exact" w:line="600"/>
              <w:jc w:val="center"/>
            </w:pPr>
            <w:r/>
            <w:r>
              <w:rPr>
                <w:rFonts w:ascii="仿宋_GB2312" w:hAnsi="仿宋_GB2312" w:eastAsia="仿宋_GB2312"/>
                <w:b w:val="0"/>
                <w:color w:val="000000"/>
                <w:sz w:val="32"/>
              </w:rPr>
              <w:t>控股股东</w:t>
            </w:r>
          </w:p>
        </w:tc>
        <w:tc>
          <w:tcPr>
            <w:tcW w:type="dxa" w:w="4422"/>
          </w:tcPr>
          <w:p>
            <w:pPr>
              <w:spacing w:lineRule="exact" w:line="600"/>
              <w:jc w:val="center"/>
            </w:pPr>
            <w:r/>
            <w:r>
              <w:rPr>
                <w:rFonts w:ascii="仿宋_GB2312" w:hAnsi="仿宋_GB2312" w:eastAsia="仿宋_GB2312"/>
                <w:b w:val="0"/>
                <w:color w:val="000000"/>
                <w:sz w:val="32"/>
              </w:rPr>
              <w:t>青岛海信网络能源股份有限公司（持股65%，2026年4月并购）</w:t>
            </w:r>
          </w:p>
        </w:tc>
      </w:tr>
      <w:tr>
        <w:tc>
          <w:tcPr>
            <w:tcW w:type="dxa" w:w="4422"/>
          </w:tcPr>
          <w:p>
            <w:pPr>
              <w:spacing w:lineRule="exact" w:line="600"/>
              <w:jc w:val="center"/>
            </w:pPr>
            <w:r/>
            <w:r>
              <w:rPr>
                <w:rFonts w:ascii="仿宋_GB2312" w:hAnsi="仿宋_GB2312" w:eastAsia="仿宋_GB2312"/>
                <w:b w:val="0"/>
                <w:color w:val="000000"/>
                <w:sz w:val="32"/>
              </w:rPr>
              <w:t>原控股股东</w:t>
            </w:r>
          </w:p>
        </w:tc>
        <w:tc>
          <w:tcPr>
            <w:tcW w:type="dxa" w:w="4422"/>
          </w:tcPr>
          <w:p>
            <w:pPr>
              <w:spacing w:lineRule="exact" w:line="600"/>
              <w:jc w:val="center"/>
            </w:pPr>
            <w:r/>
            <w:r>
              <w:rPr>
                <w:rFonts w:ascii="仿宋_GB2312" w:hAnsi="仿宋_GB2312" w:eastAsia="仿宋_GB2312"/>
                <w:b w:val="0"/>
                <w:color w:val="000000"/>
                <w:sz w:val="32"/>
              </w:rPr>
              <w:t>山东水发电力集团（山东省属国资，2020年重整、2021年国有化）</w:t>
            </w:r>
          </w:p>
        </w:tc>
      </w:tr>
      <w:tr>
        <w:tc>
          <w:tcPr>
            <w:tcW w:type="dxa" w:w="4422"/>
          </w:tcPr>
          <w:p>
            <w:pPr>
              <w:spacing w:lineRule="exact" w:line="600"/>
              <w:jc w:val="center"/>
            </w:pPr>
            <w:r/>
            <w:r>
              <w:rPr>
                <w:rFonts w:ascii="仿宋_GB2312" w:hAnsi="仿宋_GB2312" w:eastAsia="仿宋_GB2312"/>
                <w:b w:val="0"/>
                <w:color w:val="000000"/>
                <w:sz w:val="32"/>
              </w:rPr>
              <w:t>登记机关</w:t>
            </w:r>
          </w:p>
        </w:tc>
        <w:tc>
          <w:tcPr>
            <w:tcW w:type="dxa" w:w="4422"/>
          </w:tcPr>
          <w:p>
            <w:pPr>
              <w:spacing w:lineRule="exact" w:line="600"/>
              <w:jc w:val="center"/>
            </w:pPr>
            <w:r/>
            <w:r>
              <w:rPr>
                <w:rFonts w:ascii="仿宋_GB2312" w:hAnsi="仿宋_GB2312" w:eastAsia="仿宋_GB2312"/>
                <w:b w:val="0"/>
                <w:color w:val="000000"/>
                <w:sz w:val="32"/>
              </w:rPr>
              <w:t>菏泽市市场监督管理局</w:t>
            </w:r>
          </w:p>
        </w:tc>
      </w:tr>
      <w:tr>
        <w:tc>
          <w:tcPr>
            <w:tcW w:type="dxa" w:w="4422"/>
          </w:tcPr>
          <w:p>
            <w:pPr>
              <w:spacing w:lineRule="exact" w:line="600"/>
              <w:jc w:val="center"/>
            </w:pPr>
            <w:r/>
            <w:r>
              <w:rPr>
                <w:rFonts w:ascii="仿宋_GB2312" w:hAnsi="仿宋_GB2312" w:eastAsia="仿宋_GB2312"/>
                <w:b w:val="0"/>
                <w:color w:val="000000"/>
                <w:sz w:val="32"/>
              </w:rPr>
              <w:t>注册地址</w:t>
            </w:r>
          </w:p>
        </w:tc>
        <w:tc>
          <w:tcPr>
            <w:tcW w:type="dxa" w:w="4422"/>
          </w:tcPr>
          <w:p>
            <w:pPr>
              <w:spacing w:lineRule="exact" w:line="600"/>
              <w:jc w:val="center"/>
            </w:pPr>
            <w:r/>
            <w:r>
              <w:rPr>
                <w:rFonts w:ascii="仿宋_GB2312" w:hAnsi="仿宋_GB2312" w:eastAsia="仿宋_GB2312"/>
                <w:b w:val="0"/>
                <w:color w:val="000000"/>
                <w:sz w:val="32"/>
              </w:rPr>
              <w:t>山东省菏泽市成武县工业开发区</w:t>
            </w:r>
          </w:p>
        </w:tc>
      </w:tr>
      <w:tr>
        <w:tc>
          <w:tcPr>
            <w:tcW w:type="dxa" w:w="4422"/>
          </w:tcPr>
          <w:p>
            <w:pPr>
              <w:spacing w:lineRule="exact" w:line="600"/>
              <w:jc w:val="center"/>
            </w:pPr>
            <w:r/>
            <w:r>
              <w:rPr>
                <w:rFonts w:ascii="仿宋_GB2312" w:hAnsi="仿宋_GB2312" w:eastAsia="仿宋_GB2312"/>
                <w:b w:val="0"/>
                <w:color w:val="000000"/>
                <w:sz w:val="32"/>
              </w:rPr>
              <w:t>国民经济行业分类</w:t>
            </w:r>
          </w:p>
        </w:tc>
        <w:tc>
          <w:tcPr>
            <w:tcW w:type="dxa" w:w="4422"/>
          </w:tcPr>
          <w:p>
            <w:pPr>
              <w:spacing w:lineRule="exact" w:line="600"/>
              <w:jc w:val="center"/>
            </w:pPr>
            <w:r/>
            <w:r>
              <w:rPr>
                <w:rFonts w:ascii="仿宋_GB2312" w:hAnsi="仿宋_GB2312" w:eastAsia="仿宋_GB2312"/>
                <w:b w:val="0"/>
                <w:color w:val="000000"/>
                <w:sz w:val="32"/>
              </w:rPr>
              <w:t>电气机械和器材制造业＞输配电及控制设备制造</w:t>
            </w:r>
          </w:p>
        </w:tc>
      </w:tr>
      <w:tr>
        <w:tc>
          <w:tcPr>
            <w:tcW w:type="dxa" w:w="4422"/>
          </w:tcPr>
          <w:p>
            <w:pPr>
              <w:spacing w:lineRule="exact" w:line="600"/>
              <w:jc w:val="center"/>
            </w:pPr>
            <w:r/>
            <w:r>
              <w:rPr>
                <w:rFonts w:ascii="仿宋_GB2312" w:hAnsi="仿宋_GB2312" w:eastAsia="仿宋_GB2312"/>
                <w:b w:val="0"/>
                <w:color w:val="000000"/>
                <w:sz w:val="32"/>
              </w:rPr>
              <w:t>参保人数</w:t>
            </w:r>
          </w:p>
        </w:tc>
        <w:tc>
          <w:tcPr>
            <w:tcW w:type="dxa" w:w="4422"/>
          </w:tcPr>
          <w:p>
            <w:pPr>
              <w:spacing w:lineRule="exact" w:line="600"/>
              <w:jc w:val="center"/>
            </w:pPr>
            <w:r/>
            <w:r>
              <w:rPr>
                <w:rFonts w:ascii="仿宋_GB2312" w:hAnsi="仿宋_GB2312" w:eastAsia="仿宋_GB2312"/>
                <w:b w:val="0"/>
                <w:color w:val="000000"/>
                <w:sz w:val="32"/>
              </w:rPr>
              <w:t>约785人（公示口径）</w:t>
            </w:r>
          </w:p>
        </w:tc>
      </w:tr>
      <w:tr>
        <w:tc>
          <w:tcPr>
            <w:tcW w:type="dxa" w:w="4422"/>
          </w:tcPr>
          <w:p>
            <w:pPr>
              <w:spacing w:lineRule="exact" w:line="600"/>
              <w:jc w:val="center"/>
            </w:pPr>
            <w:r/>
            <w:r>
              <w:rPr>
                <w:rFonts w:ascii="仿宋_GB2312" w:hAnsi="仿宋_GB2312" w:eastAsia="仿宋_GB2312"/>
                <w:b w:val="0"/>
                <w:color w:val="000000"/>
                <w:sz w:val="32"/>
              </w:rPr>
              <w:t>企业规模</w:t>
            </w:r>
          </w:p>
        </w:tc>
        <w:tc>
          <w:tcPr>
            <w:tcW w:type="dxa" w:w="4422"/>
          </w:tcPr>
          <w:p>
            <w:pPr>
              <w:spacing w:lineRule="exact" w:line="600"/>
              <w:jc w:val="center"/>
            </w:pPr>
            <w:r/>
            <w:r>
              <w:rPr>
                <w:rFonts w:ascii="仿宋_GB2312" w:hAnsi="仿宋_GB2312" w:eastAsia="仿宋_GB2312"/>
                <w:b w:val="0"/>
                <w:color w:val="000000"/>
                <w:sz w:val="32"/>
              </w:rPr>
              <w:t>大型（县域龙头制造企业）</w:t>
            </w:r>
          </w:p>
        </w:tc>
      </w:tr>
    </w:tbl>
    <w:p>
      <w:pPr>
        <w:spacing w:lineRule="exact" w:line="600" w:before="0" w:after="0"/>
        <w:ind w:firstLine="420"/>
        <w:jc w:val="both"/>
      </w:pPr>
      <w:r>
        <w:rPr>
          <w:rFonts w:ascii="仿宋_GB2312" w:hAnsi="仿宋_GB2312" w:eastAsia="仿宋_GB2312"/>
          <w:b w:val="0"/>
          <w:color w:val="000000"/>
          <w:sz w:val="32"/>
        </w:rPr>
        <w:t>公司经营范围涵盖750kV级及以下智能油浸电力变压器、节能变压器、非晶合金铁心变压器、箱式变电站、电抗器、高低压开关柜、电磁线及输变电配套设备的研发、制造、销售与服务，并可承接变电站工程总承包与运维服务。其主导产品电压等级覆盖10kV至750kV，是少数具备超高压、大容量变压器研制能力的国内民营企业之一。</w:t>
      </w:r>
    </w:p>
    <w:p>
      <w:pPr>
        <w:spacing w:lineRule="exact" w:line="600" w:before="0" w:after="0"/>
        <w:ind w:firstLine="420"/>
        <w:jc w:val="both"/>
      </w:pPr>
      <w:r>
        <w:rPr>
          <w:rFonts w:ascii="仿宋_GB2312" w:hAnsi="仿宋_GB2312" w:eastAsia="仿宋_GB2312"/>
          <w:b w:val="0"/>
          <w:color w:val="000000"/>
          <w:sz w:val="32"/>
        </w:rPr>
        <w:t>需要提示的是，公开渠道对公司法定代表人及主要管理者的记载存在口径差异：工商登记显示现任法定代表人为刘志国；而海信并购后，海信集团副总裁、海信智慧能源产业总裁史文伯主导本次战略整合，并作为企业战略发展的核心负责人对外发声。正式业务合作前，应以国家企业信用信息公示系统的最新核准信息、营业执照原件及公司章程为准，同步核验法定代表人身份证件、股东会与董事会决议，确认签约主体的适格性。</w:t>
      </w:r>
    </w:p>
    <w:p>
      <w:pPr>
        <w:spacing w:lineRule="exact" w:line="600" w:before="120" w:after="120"/>
        <w:ind w:firstLine="420"/>
        <w:jc w:val="left"/>
      </w:pPr>
      <w:r>
        <w:rPr>
          <w:rFonts w:ascii="楷体_GB2312" w:hAnsi="楷体_GB2312" w:eastAsia="楷体_GB2312"/>
          <w:b w:val="0"/>
          <w:color w:val="000000"/>
          <w:sz w:val="32"/>
        </w:rPr>
        <w:t>（三）股权结构与实际控制人</w:t>
      </w:r>
    </w:p>
    <w:p>
      <w:pPr>
        <w:spacing w:lineRule="exact" w:line="600" w:before="0" w:after="0"/>
        <w:ind w:firstLine="420"/>
        <w:jc w:val="both"/>
      </w:pPr>
      <w:r>
        <w:rPr>
          <w:rFonts w:ascii="仿宋_GB2312" w:hAnsi="仿宋_GB2312" w:eastAsia="仿宋_GB2312"/>
          <w:b w:val="0"/>
          <w:color w:val="000000"/>
          <w:sz w:val="32"/>
        </w:rPr>
        <w:t>公司股权结构在2026年4月发生根本性变化。2025年12月，原控股股东山东水发集团所属山东达驰电气有限公司65%股权及9631.69万元债权、山东达驰高压开关有限公司65%股权及11396.18万元债权、水发驰翔电气（山东）有限公司65%股权及8168.71万元债权三宗项目在山东产权交易中心挂牌；2026年4月27日，海信集团与山东水发集团正式签署战略合作协议，海信集团全资子公司青岛海信网络能源股份有限公司以合计约8.57亿元成功摘牌，受让上述三家公司各65%股权及相应债权。由此，山东达驰电气由山东省属国资控股企业转变为海信集团控股的混合所有制企业，海信持股比例达65%，为控股股东。</w:t>
      </w:r>
    </w:p>
    <w:p>
      <w:pPr>
        <w:spacing w:lineRule="exact" w:line="600" w:before="0" w:after="0"/>
        <w:ind w:firstLine="420"/>
        <w:jc w:val="both"/>
      </w:pPr>
      <w:r>
        <w:rPr>
          <w:rFonts w:ascii="仿宋_GB2312" w:hAnsi="仿宋_GB2312" w:eastAsia="仿宋_GB2312"/>
          <w:b w:val="0"/>
          <w:color w:val="000000"/>
          <w:sz w:val="32"/>
        </w:rPr>
        <w:t>这一股权变更具有明确的产业逻辑。海信自2020年成立海信网络能源、2024年并购科林电气切入中低压配电领域后，本次收购达驰电气可补齐中高压输变电能力，形成"电网设备+新能源+温控+综合能源服务"的全链路智慧能源解决方案能力，并瞄准AI数据中心带来的电力能源需求增长。对达驰电气而言，引入海信意味着获得雄厚的资本实力、全球化的渠道网络、数字化管理经验与品牌背书，企业由此全面融入海信智慧能源产业战略。</w:t>
      </w:r>
    </w:p>
    <w:p>
      <w:pPr>
        <w:spacing w:lineRule="exact" w:line="600" w:before="0" w:after="0"/>
        <w:ind w:firstLine="420"/>
        <w:jc w:val="both"/>
      </w:pPr>
      <w:r>
        <w:rPr>
          <w:rFonts w:ascii="仿宋_GB2312" w:hAnsi="仿宋_GB2312" w:eastAsia="仿宋_GB2312"/>
          <w:b w:val="0"/>
          <w:color w:val="000000"/>
          <w:sz w:val="32"/>
        </w:rPr>
        <w:t>在尽调层面，需重点关注：一是并购交易是否已完成工商变更登记与债权交割，历史债权的承接与清偿安排；二是剩余35%股权（原水发方或其他少数股东持有）的权属与一致行动关系；三是海信入主后公司治理、财务并表与授信主体的认定，确保授信对象与还款来源清晰、可控、可追溯。</w:t>
      </w:r>
    </w:p>
    <w:p>
      <w:pPr>
        <w:spacing w:lineRule="exact" w:line="600" w:before="120" w:after="120"/>
        <w:ind w:firstLine="420"/>
        <w:jc w:val="left"/>
      </w:pPr>
      <w:r>
        <w:rPr>
          <w:rFonts w:ascii="楷体_GB2312" w:hAnsi="楷体_GB2312" w:eastAsia="楷体_GB2312"/>
          <w:b w:val="0"/>
          <w:color w:val="000000"/>
          <w:sz w:val="32"/>
        </w:rPr>
        <w:t>（四）经营场所与产能规模</w:t>
      </w:r>
    </w:p>
    <w:p>
      <w:pPr>
        <w:spacing w:lineRule="exact" w:line="600" w:before="0" w:after="0"/>
        <w:ind w:firstLine="420"/>
        <w:jc w:val="both"/>
      </w:pPr>
      <w:r>
        <w:rPr>
          <w:rFonts w:ascii="仿宋_GB2312" w:hAnsi="仿宋_GB2312" w:eastAsia="仿宋_GB2312"/>
          <w:b w:val="0"/>
          <w:color w:val="000000"/>
          <w:sz w:val="32"/>
        </w:rPr>
        <w:t>据公开报道，公司总资产约26亿元，厂区占地面积约67万平方米，具备年产8000万kVA变压器的综合制造能力，拥有完整的铁芯加工、绕组成型、真空浇注、总装试验等全流程工艺产线，并配备高压试验大厅等关键设施。其中，500kV超高压变压器单台价值约3000万元，年产能约40台，是衡量企业综合实力的"试金石"级产品，主要供应山东、黑龙江、河北等多地国家电网。</w:t>
      </w:r>
    </w:p>
    <w:p>
      <w:pPr>
        <w:spacing w:lineRule="exact" w:line="600" w:before="0" w:after="0"/>
        <w:ind w:firstLine="420"/>
        <w:jc w:val="both"/>
      </w:pPr>
      <w:r>
        <w:rPr>
          <w:rFonts w:ascii="仿宋_GB2312" w:hAnsi="仿宋_GB2312" w:eastAsia="仿宋_GB2312"/>
          <w:b w:val="0"/>
          <w:color w:val="000000"/>
          <w:sz w:val="32"/>
        </w:rPr>
        <w:t>公司产品涵盖60个系列、1000多个细分型号，形成了从配电变压器到超高压电力变压器的全电压等级产品矩阵。2025年企业实现产值13.8亿元、同比增长23.6%；2026年一季度实现产值4.8亿元，呈现持续高速增长态势。需要说明，公开报道中的"产值"系工业总产值口径，与营业收入并非同一概念，公司未公开披露经审计的营业收入与利润数据，相关财务分析详见本报告第三部分。</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要素</w:t>
            </w:r>
          </w:p>
        </w:tc>
        <w:tc>
          <w:tcPr>
            <w:tcW w:type="dxa" w:w="2948"/>
          </w:tcPr>
          <w:p>
            <w:pPr>
              <w:spacing w:lineRule="exact" w:line="600"/>
              <w:jc w:val="center"/>
            </w:pPr>
            <w:r/>
            <w:r>
              <w:rPr>
                <w:rFonts w:ascii="黑体" w:hAnsi="黑体" w:eastAsia="黑体"/>
                <w:b/>
                <w:color w:val="000000"/>
                <w:sz w:val="32"/>
              </w:rPr>
              <w:t>披露情况</w:t>
            </w:r>
          </w:p>
        </w:tc>
        <w:tc>
          <w:tcPr>
            <w:tcW w:type="dxa" w:w="2948"/>
          </w:tcPr>
          <w:p>
            <w:pPr>
              <w:spacing w:lineRule="exact" w:line="600"/>
              <w:jc w:val="center"/>
            </w:pPr>
            <w:r/>
            <w:r>
              <w:rPr>
                <w:rFonts w:ascii="黑体" w:hAnsi="黑体" w:eastAsia="黑体"/>
                <w:b/>
                <w:color w:val="000000"/>
                <w:sz w:val="32"/>
              </w:rPr>
              <w:t>来源</w:t>
            </w:r>
          </w:p>
        </w:tc>
      </w:tr>
      <w:tr>
        <w:tc>
          <w:tcPr>
            <w:tcW w:type="dxa" w:w="2948"/>
          </w:tcPr>
          <w:p>
            <w:pPr>
              <w:spacing w:lineRule="exact" w:line="600"/>
              <w:jc w:val="center"/>
            </w:pPr>
            <w:r/>
            <w:r>
              <w:rPr>
                <w:rFonts w:ascii="仿宋_GB2312" w:hAnsi="仿宋_GB2312" w:eastAsia="仿宋_GB2312"/>
                <w:b w:val="0"/>
                <w:color w:val="000000"/>
                <w:sz w:val="32"/>
              </w:rPr>
              <w:t>总资产</w:t>
            </w:r>
          </w:p>
        </w:tc>
        <w:tc>
          <w:tcPr>
            <w:tcW w:type="dxa" w:w="2948"/>
          </w:tcPr>
          <w:p>
            <w:pPr>
              <w:spacing w:lineRule="exact" w:line="600"/>
              <w:jc w:val="center"/>
            </w:pPr>
            <w:r/>
            <w:r>
              <w:rPr>
                <w:rFonts w:ascii="仿宋_GB2312" w:hAnsi="仿宋_GB2312" w:eastAsia="仿宋_GB2312"/>
                <w:b w:val="0"/>
                <w:color w:val="000000"/>
                <w:sz w:val="32"/>
              </w:rPr>
              <w:t>约26亿元</w:t>
            </w:r>
          </w:p>
        </w:tc>
        <w:tc>
          <w:tcPr>
            <w:tcW w:type="dxa" w:w="2948"/>
          </w:tcPr>
          <w:p>
            <w:pPr>
              <w:spacing w:lineRule="exact" w:line="600"/>
              <w:jc w:val="center"/>
            </w:pPr>
            <w:r/>
            <w:r>
              <w:rPr>
                <w:rFonts w:ascii="仿宋_GB2312" w:hAnsi="仿宋_GB2312" w:eastAsia="仿宋_GB2312"/>
                <w:b w:val="0"/>
                <w:color w:val="000000"/>
                <w:sz w:val="32"/>
              </w:rPr>
              <w:t>公开报道</w:t>
            </w:r>
          </w:p>
        </w:tc>
      </w:tr>
      <w:tr>
        <w:tc>
          <w:tcPr>
            <w:tcW w:type="dxa" w:w="2948"/>
          </w:tcPr>
          <w:p>
            <w:pPr>
              <w:spacing w:lineRule="exact" w:line="600"/>
              <w:jc w:val="center"/>
            </w:pPr>
            <w:r/>
            <w:r>
              <w:rPr>
                <w:rFonts w:ascii="仿宋_GB2312" w:hAnsi="仿宋_GB2312" w:eastAsia="仿宋_GB2312"/>
                <w:b w:val="0"/>
                <w:color w:val="000000"/>
                <w:sz w:val="32"/>
              </w:rPr>
              <w:t>占地面积</w:t>
            </w:r>
          </w:p>
        </w:tc>
        <w:tc>
          <w:tcPr>
            <w:tcW w:type="dxa" w:w="2948"/>
          </w:tcPr>
          <w:p>
            <w:pPr>
              <w:spacing w:lineRule="exact" w:line="600"/>
              <w:jc w:val="center"/>
            </w:pPr>
            <w:r/>
            <w:r>
              <w:rPr>
                <w:rFonts w:ascii="仿宋_GB2312" w:hAnsi="仿宋_GB2312" w:eastAsia="仿宋_GB2312"/>
                <w:b w:val="0"/>
                <w:color w:val="000000"/>
                <w:sz w:val="32"/>
              </w:rPr>
              <w:t>约67万平方米</w:t>
            </w:r>
          </w:p>
        </w:tc>
        <w:tc>
          <w:tcPr>
            <w:tcW w:type="dxa" w:w="2948"/>
          </w:tcPr>
          <w:p>
            <w:pPr>
              <w:spacing w:lineRule="exact" w:line="600"/>
              <w:jc w:val="center"/>
            </w:pPr>
            <w:r/>
            <w:r>
              <w:rPr>
                <w:rFonts w:ascii="仿宋_GB2312" w:hAnsi="仿宋_GB2312" w:eastAsia="仿宋_GB2312"/>
                <w:b w:val="0"/>
                <w:color w:val="000000"/>
                <w:sz w:val="32"/>
              </w:rPr>
              <w:t>公开报道</w:t>
            </w:r>
          </w:p>
        </w:tc>
      </w:tr>
      <w:tr>
        <w:tc>
          <w:tcPr>
            <w:tcW w:type="dxa" w:w="2948"/>
          </w:tcPr>
          <w:p>
            <w:pPr>
              <w:spacing w:lineRule="exact" w:line="600"/>
              <w:jc w:val="center"/>
            </w:pPr>
            <w:r/>
            <w:r>
              <w:rPr>
                <w:rFonts w:ascii="仿宋_GB2312" w:hAnsi="仿宋_GB2312" w:eastAsia="仿宋_GB2312"/>
                <w:b w:val="0"/>
                <w:color w:val="000000"/>
                <w:sz w:val="32"/>
              </w:rPr>
              <w:t>年产能</w:t>
            </w:r>
          </w:p>
        </w:tc>
        <w:tc>
          <w:tcPr>
            <w:tcW w:type="dxa" w:w="2948"/>
          </w:tcPr>
          <w:p>
            <w:pPr>
              <w:spacing w:lineRule="exact" w:line="600"/>
              <w:jc w:val="center"/>
            </w:pPr>
            <w:r/>
            <w:r>
              <w:rPr>
                <w:rFonts w:ascii="仿宋_GB2312" w:hAnsi="仿宋_GB2312" w:eastAsia="仿宋_GB2312"/>
                <w:b w:val="0"/>
                <w:color w:val="000000"/>
                <w:sz w:val="32"/>
              </w:rPr>
              <w:t>8000万kVA（变压器）</w:t>
            </w:r>
          </w:p>
        </w:tc>
        <w:tc>
          <w:tcPr>
            <w:tcW w:type="dxa" w:w="2948"/>
          </w:tcPr>
          <w:p>
            <w:pPr>
              <w:spacing w:lineRule="exact" w:line="600"/>
              <w:jc w:val="center"/>
            </w:pPr>
            <w:r/>
            <w:r>
              <w:rPr>
                <w:rFonts w:ascii="仿宋_GB2312" w:hAnsi="仿宋_GB2312" w:eastAsia="仿宋_GB2312"/>
                <w:b w:val="0"/>
                <w:color w:val="000000"/>
                <w:sz w:val="32"/>
              </w:rPr>
              <w:t>公开报道</w:t>
            </w:r>
          </w:p>
        </w:tc>
      </w:tr>
      <w:tr>
        <w:tc>
          <w:tcPr>
            <w:tcW w:type="dxa" w:w="2948"/>
          </w:tcPr>
          <w:p>
            <w:pPr>
              <w:spacing w:lineRule="exact" w:line="600"/>
              <w:jc w:val="center"/>
            </w:pPr>
            <w:r/>
            <w:r>
              <w:rPr>
                <w:rFonts w:ascii="仿宋_GB2312" w:hAnsi="仿宋_GB2312" w:eastAsia="仿宋_GB2312"/>
                <w:b w:val="0"/>
                <w:color w:val="000000"/>
                <w:sz w:val="32"/>
              </w:rPr>
              <w:t>产品系列</w:t>
            </w:r>
          </w:p>
        </w:tc>
        <w:tc>
          <w:tcPr>
            <w:tcW w:type="dxa" w:w="2948"/>
          </w:tcPr>
          <w:p>
            <w:pPr>
              <w:spacing w:lineRule="exact" w:line="600"/>
              <w:jc w:val="center"/>
            </w:pPr>
            <w:r/>
            <w:r>
              <w:rPr>
                <w:rFonts w:ascii="仿宋_GB2312" w:hAnsi="仿宋_GB2312" w:eastAsia="仿宋_GB2312"/>
                <w:b w:val="0"/>
                <w:color w:val="000000"/>
                <w:sz w:val="32"/>
              </w:rPr>
              <w:t>60个系列、1000余个细分型号</w:t>
            </w:r>
          </w:p>
        </w:tc>
        <w:tc>
          <w:tcPr>
            <w:tcW w:type="dxa" w:w="2948"/>
          </w:tcPr>
          <w:p>
            <w:pPr>
              <w:spacing w:lineRule="exact" w:line="600"/>
              <w:jc w:val="center"/>
            </w:pPr>
            <w:r/>
            <w:r>
              <w:rPr>
                <w:rFonts w:ascii="仿宋_GB2312" w:hAnsi="仿宋_GB2312" w:eastAsia="仿宋_GB2312"/>
                <w:b w:val="0"/>
                <w:color w:val="000000"/>
                <w:sz w:val="32"/>
              </w:rPr>
              <w:t>公开报道</w:t>
            </w:r>
          </w:p>
        </w:tc>
      </w:tr>
      <w:tr>
        <w:tc>
          <w:tcPr>
            <w:tcW w:type="dxa" w:w="2948"/>
          </w:tcPr>
          <w:p>
            <w:pPr>
              <w:spacing w:lineRule="exact" w:line="600"/>
              <w:jc w:val="center"/>
            </w:pPr>
            <w:r/>
            <w:r>
              <w:rPr>
                <w:rFonts w:ascii="仿宋_GB2312" w:hAnsi="仿宋_GB2312" w:eastAsia="仿宋_GB2312"/>
                <w:b w:val="0"/>
                <w:color w:val="000000"/>
                <w:sz w:val="32"/>
              </w:rPr>
              <w:t>2025年产值</w:t>
            </w:r>
          </w:p>
        </w:tc>
        <w:tc>
          <w:tcPr>
            <w:tcW w:type="dxa" w:w="2948"/>
          </w:tcPr>
          <w:p>
            <w:pPr>
              <w:spacing w:lineRule="exact" w:line="600"/>
              <w:jc w:val="center"/>
            </w:pPr>
            <w:r/>
            <w:r>
              <w:rPr>
                <w:rFonts w:ascii="仿宋_GB2312" w:hAnsi="仿宋_GB2312" w:eastAsia="仿宋_GB2312"/>
                <w:b w:val="0"/>
                <w:color w:val="000000"/>
                <w:sz w:val="32"/>
              </w:rPr>
              <w:t>13.8亿元（同比+23.6%）</w:t>
            </w:r>
          </w:p>
        </w:tc>
        <w:tc>
          <w:tcPr>
            <w:tcW w:type="dxa" w:w="2948"/>
          </w:tcPr>
          <w:p>
            <w:pPr>
              <w:spacing w:lineRule="exact" w:line="600"/>
              <w:jc w:val="center"/>
            </w:pPr>
            <w:r/>
            <w:r>
              <w:rPr>
                <w:rFonts w:ascii="仿宋_GB2312" w:hAnsi="仿宋_GB2312" w:eastAsia="仿宋_GB2312"/>
                <w:b w:val="0"/>
                <w:color w:val="000000"/>
                <w:sz w:val="32"/>
              </w:rPr>
              <w:t>菏泽日报等</w:t>
            </w:r>
          </w:p>
        </w:tc>
      </w:tr>
      <w:tr>
        <w:tc>
          <w:tcPr>
            <w:tcW w:type="dxa" w:w="2948"/>
          </w:tcPr>
          <w:p>
            <w:pPr>
              <w:spacing w:lineRule="exact" w:line="600"/>
              <w:jc w:val="center"/>
            </w:pPr>
            <w:r/>
            <w:r>
              <w:rPr>
                <w:rFonts w:ascii="仿宋_GB2312" w:hAnsi="仿宋_GB2312" w:eastAsia="仿宋_GB2312"/>
                <w:b w:val="0"/>
                <w:color w:val="000000"/>
                <w:sz w:val="32"/>
              </w:rPr>
              <w:t>2026年Q1产值</w:t>
            </w:r>
          </w:p>
        </w:tc>
        <w:tc>
          <w:tcPr>
            <w:tcW w:type="dxa" w:w="2948"/>
          </w:tcPr>
          <w:p>
            <w:pPr>
              <w:spacing w:lineRule="exact" w:line="600"/>
              <w:jc w:val="center"/>
            </w:pPr>
            <w:r/>
            <w:r>
              <w:rPr>
                <w:rFonts w:ascii="仿宋_GB2312" w:hAnsi="仿宋_GB2312" w:eastAsia="仿宋_GB2312"/>
                <w:b w:val="0"/>
                <w:color w:val="000000"/>
                <w:sz w:val="32"/>
              </w:rPr>
              <w:t>4.8亿元</w:t>
            </w:r>
          </w:p>
        </w:tc>
        <w:tc>
          <w:tcPr>
            <w:tcW w:type="dxa" w:w="2948"/>
          </w:tcPr>
          <w:p>
            <w:pPr>
              <w:spacing w:lineRule="exact" w:line="600"/>
              <w:jc w:val="center"/>
            </w:pPr>
            <w:r/>
            <w:r>
              <w:rPr>
                <w:rFonts w:ascii="仿宋_GB2312" w:hAnsi="仿宋_GB2312" w:eastAsia="仿宋_GB2312"/>
                <w:b w:val="0"/>
                <w:color w:val="000000"/>
                <w:sz w:val="32"/>
              </w:rPr>
              <w:t>菏泽日报等</w:t>
            </w:r>
          </w:p>
        </w:tc>
      </w:tr>
      <w:tr>
        <w:tc>
          <w:tcPr>
            <w:tcW w:type="dxa" w:w="2948"/>
          </w:tcPr>
          <w:p>
            <w:pPr>
              <w:spacing w:lineRule="exact" w:line="600"/>
              <w:jc w:val="center"/>
            </w:pPr>
            <w:r/>
            <w:r>
              <w:rPr>
                <w:rFonts w:ascii="仿宋_GB2312" w:hAnsi="仿宋_GB2312" w:eastAsia="仿宋_GB2312"/>
                <w:b w:val="0"/>
                <w:color w:val="000000"/>
                <w:sz w:val="32"/>
              </w:rPr>
              <w:t>参保人数</w:t>
            </w:r>
          </w:p>
        </w:tc>
        <w:tc>
          <w:tcPr>
            <w:tcW w:type="dxa" w:w="2948"/>
          </w:tcPr>
          <w:p>
            <w:pPr>
              <w:spacing w:lineRule="exact" w:line="600"/>
              <w:jc w:val="center"/>
            </w:pPr>
            <w:r/>
            <w:r>
              <w:rPr>
                <w:rFonts w:ascii="仿宋_GB2312" w:hAnsi="仿宋_GB2312" w:eastAsia="仿宋_GB2312"/>
                <w:b w:val="0"/>
                <w:color w:val="000000"/>
                <w:sz w:val="32"/>
              </w:rPr>
              <w:t>约785人</w:t>
            </w:r>
          </w:p>
        </w:tc>
        <w:tc>
          <w:tcPr>
            <w:tcW w:type="dxa" w:w="2948"/>
          </w:tcPr>
          <w:p>
            <w:pPr>
              <w:spacing w:lineRule="exact" w:line="600"/>
              <w:jc w:val="center"/>
            </w:pPr>
            <w:r/>
            <w:r>
              <w:rPr>
                <w:rFonts w:ascii="仿宋_GB2312" w:hAnsi="仿宋_GB2312" w:eastAsia="仿宋_GB2312"/>
                <w:b w:val="0"/>
                <w:color w:val="000000"/>
                <w:sz w:val="32"/>
              </w:rPr>
              <w:t>工商公示</w:t>
            </w:r>
          </w:p>
        </w:tc>
      </w:tr>
      <w:tr>
        <w:tc>
          <w:tcPr>
            <w:tcW w:type="dxa" w:w="2948"/>
          </w:tcPr>
          <w:p>
            <w:pPr>
              <w:spacing w:lineRule="exact" w:line="600"/>
              <w:jc w:val="center"/>
            </w:pPr>
            <w:r/>
            <w:r>
              <w:rPr>
                <w:rFonts w:ascii="仿宋_GB2312" w:hAnsi="仿宋_GB2312" w:eastAsia="仿宋_GB2312"/>
                <w:b w:val="0"/>
                <w:color w:val="000000"/>
                <w:sz w:val="32"/>
              </w:rPr>
              <w:t>500kV变压器</w:t>
            </w:r>
          </w:p>
        </w:tc>
        <w:tc>
          <w:tcPr>
            <w:tcW w:type="dxa" w:w="2948"/>
          </w:tcPr>
          <w:p>
            <w:pPr>
              <w:spacing w:lineRule="exact" w:line="600"/>
              <w:jc w:val="center"/>
            </w:pPr>
            <w:r/>
            <w:r>
              <w:rPr>
                <w:rFonts w:ascii="仿宋_GB2312" w:hAnsi="仿宋_GB2312" w:eastAsia="仿宋_GB2312"/>
                <w:b w:val="0"/>
                <w:color w:val="000000"/>
                <w:sz w:val="32"/>
              </w:rPr>
              <w:t>单台约3000万元，年产能约40台</w:t>
            </w:r>
          </w:p>
        </w:tc>
        <w:tc>
          <w:tcPr>
            <w:tcW w:type="dxa" w:w="2948"/>
          </w:tcPr>
          <w:p>
            <w:pPr>
              <w:spacing w:lineRule="exact" w:line="600"/>
              <w:jc w:val="center"/>
            </w:pPr>
            <w:r/>
            <w:r>
              <w:rPr>
                <w:rFonts w:ascii="仿宋_GB2312" w:hAnsi="仿宋_GB2312" w:eastAsia="仿宋_GB2312"/>
                <w:b w:val="0"/>
                <w:color w:val="000000"/>
                <w:sz w:val="32"/>
              </w:rPr>
              <w:t>菏泽广电报道</w:t>
            </w:r>
          </w:p>
        </w:tc>
      </w:tr>
    </w:tbl>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（一）主营业务与产品结构</w:t>
      </w:r>
    </w:p>
    <w:p>
      <w:pPr>
        <w:spacing w:lineRule="exact" w:line="600" w:before="0" w:after="0"/>
        <w:ind w:firstLine="420"/>
        <w:jc w:val="both"/>
      </w:pPr>
      <w:r>
        <w:rPr>
          <w:rFonts w:ascii="仿宋_GB2312" w:hAnsi="仿宋_GB2312" w:eastAsia="仿宋_GB2312"/>
          <w:b w:val="0"/>
          <w:color w:val="000000"/>
          <w:sz w:val="32"/>
        </w:rPr>
        <w:t>公司主营业务为电力变压器的研发、制造与销售，产品电压等级覆盖10kV至750kV，核心品类包括：智能油浸电力变压器、节能型变压器、非晶合金铁心变压器、箱式变电站、电抗器及输变电配套设备。其中，750kV级150万kVA及以下各规格型号智能油浸电力变压器是企业的旗舰产品，广泛应用于国家电网、南方电网、大型发电集团及重点工程。</w:t>
      </w:r>
    </w:p>
    <w:p>
      <w:pPr>
        <w:spacing w:lineRule="exact" w:line="600" w:before="0" w:after="0"/>
        <w:ind w:firstLine="420"/>
        <w:jc w:val="both"/>
      </w:pPr>
      <w:r>
        <w:rPr>
          <w:rFonts w:ascii="仿宋_GB2312" w:hAnsi="仿宋_GB2312" w:eastAsia="仿宋_GB2312"/>
          <w:b w:val="0"/>
          <w:color w:val="000000"/>
          <w:sz w:val="32"/>
        </w:rPr>
        <w:t>在绿色低碳转型方向上，公司积极布局高效节能与环保型变压器：自主研发的植物油变压器通过UL认证并出口美国，助力"菏泽制造"跻身国际高端市场；2025年成功申报山东省重点研发计划"棉籽油绿色高性能变压器研发与产业化"项目，推动变压器绝缘介质由矿物油向植物油的绿色替代。这一技术路线与全球电网低碳化、可持续采购趋势高度契合，构成企业面向未来的重要增长极。</w:t>
      </w:r>
    </w:p>
    <w:p>
      <w:pPr>
        <w:spacing w:lineRule="exact" w:line="600" w:before="0" w:after="0"/>
        <w:ind w:firstLine="420"/>
        <w:jc w:val="both"/>
      </w:pPr>
      <w:r>
        <w:rPr>
          <w:rFonts w:ascii="仿宋_GB2312" w:hAnsi="仿宋_GB2312" w:eastAsia="仿宋_GB2312"/>
          <w:b w:val="0"/>
          <w:color w:val="000000"/>
          <w:sz w:val="32"/>
        </w:rPr>
        <w:t>从业务结构看，公司兼具"电网侧+用户侧+海外"三重市场：电网侧以国网、南网集中招标为主；用户侧覆盖新能源电站、工矿企业、轨道交通等；海外侧通过自营与代理渠道进入东南亚、中东、非洲、欧洲等70余个国家和地区。多市场、多电压等级的产品结构，有效平抑了单一市场需求波动的风险。</w:t>
      </w:r>
    </w:p>
    <w:p>
      <w:pPr>
        <w:spacing w:lineRule="exact" w:line="600" w:before="120" w:after="120"/>
        <w:ind w:firstLine="420"/>
        <w:jc w:val="left"/>
      </w:pPr>
      <w:r>
        <w:rPr>
          <w:rFonts w:ascii="楷体_GB2312" w:hAnsi="楷体_GB2312" w:eastAsia="楷体_GB2312"/>
          <w:b w:val="0"/>
          <w:color w:val="000000"/>
          <w:sz w:val="32"/>
        </w:rPr>
        <w:t>（二）市场地位与客户结构</w:t>
      </w:r>
    </w:p>
    <w:p>
      <w:pPr>
        <w:spacing w:lineRule="exact" w:line="600" w:before="0" w:after="0"/>
        <w:ind w:firstLine="420"/>
        <w:jc w:val="both"/>
      </w:pPr>
      <w:r>
        <w:rPr>
          <w:rFonts w:ascii="仿宋_GB2312" w:hAnsi="仿宋_GB2312" w:eastAsia="仿宋_GB2312"/>
          <w:b w:val="0"/>
          <w:color w:val="000000"/>
          <w:sz w:val="32"/>
        </w:rPr>
        <w:t>公司是国内输变电装备领域具有重要影响力的骨干企业，在山东省内输变电产业中长期占据领先地位。作为成武输变电装备集群的链主，其市场地位不仅体现在自身规模，更体现在对县域48家规上企业、137家中小微企业的牵引带动能力。在全国30多个省市建有完善的销售与服务网络，产品出口亚、非、欧、北美等60余个国家和地区。</w:t>
      </w:r>
    </w:p>
    <w:p>
      <w:pPr>
        <w:spacing w:lineRule="exact" w:line="600" w:before="0" w:after="0"/>
        <w:ind w:firstLine="420"/>
        <w:jc w:val="both"/>
      </w:pPr>
      <w:r>
        <w:rPr>
          <w:rFonts w:ascii="仿宋_GB2312" w:hAnsi="仿宋_GB2312" w:eastAsia="仿宋_GB2312"/>
          <w:b w:val="0"/>
          <w:color w:val="000000"/>
          <w:sz w:val="32"/>
        </w:rPr>
        <w:t>客户结构上，以电网公司（国网、南网）与大型发电集团（国家能源、华能、华电、大唐、国家电投等）为主，客户资质优良、付款保障度高，但也带来客户集中度偏高、议价能力受制于招标体制的特点。近年来，公司依托海信全球化渠道加速拓展海外，目前在手国际订单约2亿元、同比增长50%，并成功中标英国梅德沃斯58兆瓦垃圾焚烧电厂等项目，海外业务成为新的增长引擎。</w:t>
      </w:r>
    </w:p>
    <w:p>
      <w:pPr>
        <w:spacing w:lineRule="exact" w:line="600" w:before="0" w:after="0"/>
        <w:ind w:firstLine="420"/>
        <w:jc w:val="both"/>
      </w:pPr>
      <w:r>
        <w:rPr>
          <w:rFonts w:ascii="仿宋_GB2312" w:hAnsi="仿宋_GB2312" w:eastAsia="仿宋_GB2312"/>
          <w:b w:val="0"/>
          <w:color w:val="000000"/>
          <w:sz w:val="32"/>
        </w:rPr>
        <w:t>值得一提的是，公司产品曾供应卫星发射基地等国家级重点工程，并通过海信并购进一步嵌入"AI新基建整体解决方案"体系，在数据中心供配电、液冷散热耦合等新兴场景中具备先发优势。</w:t>
      </w:r>
    </w:p>
    <w:p>
      <w:pPr>
        <w:spacing w:lineRule="exact" w:line="600" w:before="120" w:after="120"/>
        <w:ind w:firstLine="420"/>
        <w:jc w:val="left"/>
      </w:pPr>
      <w:r>
        <w:rPr>
          <w:rFonts w:ascii="楷体_GB2312" w:hAnsi="楷体_GB2312" w:eastAsia="楷体_GB2312"/>
          <w:b w:val="0"/>
          <w:color w:val="000000"/>
          <w:sz w:val="32"/>
        </w:rPr>
        <w:t>（三）研发能力与技术积累</w:t>
      </w:r>
    </w:p>
    <w:p>
      <w:pPr>
        <w:spacing w:lineRule="exact" w:line="600" w:before="0" w:after="0"/>
        <w:ind w:firstLine="420"/>
        <w:jc w:val="both"/>
      </w:pPr>
      <w:r>
        <w:rPr>
          <w:rFonts w:ascii="仿宋_GB2312" w:hAnsi="仿宋_GB2312" w:eastAsia="仿宋_GB2312"/>
          <w:b w:val="0"/>
          <w:color w:val="000000"/>
          <w:sz w:val="32"/>
        </w:rPr>
        <w:t>科技创新是企业的核心引擎。2024年，公司联合西安交通大学、山东省产品质量检验研究院获批组建"山东省电力变压器环保高效智能化技术重点实验室"，搭建了产学研协同的高水平研发平台；2025年成功申报山东省重点研发计划"棉籽油绿色高性能变压器研发与产业化"项目，推动绿色变压器工程化落地。</w:t>
      </w:r>
    </w:p>
    <w:p>
      <w:pPr>
        <w:spacing w:lineRule="exact" w:line="600" w:before="0" w:after="0"/>
        <w:ind w:firstLine="420"/>
        <w:jc w:val="both"/>
      </w:pPr>
      <w:r>
        <w:rPr>
          <w:rFonts w:ascii="仿宋_GB2312" w:hAnsi="仿宋_GB2312" w:eastAsia="仿宋_GB2312"/>
          <w:b w:val="0"/>
          <w:color w:val="000000"/>
          <w:sz w:val="32"/>
        </w:rPr>
        <w:t>知识产权方面，据公开统计，公司拥有专利约362项，主导或参与行业标准、国家标准制修订约12项，在超高压变压器绝缘结构、节能铁心、智能运维等方向积累了较为系统的基础专利与工艺诀窍。需说明的是，不同平台对专利数量的统计口径（授权 vs 申请、发明 vs 实用新型）存在差异，实际应以国家知识产权局公开数据为准。</w:t>
      </w:r>
    </w:p>
    <w:p>
      <w:pPr>
        <w:spacing w:lineRule="exact" w:line="600" w:before="0" w:after="0"/>
        <w:ind w:firstLine="420"/>
        <w:jc w:val="both"/>
      </w:pPr>
      <w:r>
        <w:rPr>
          <w:rFonts w:ascii="仿宋_GB2312" w:hAnsi="仿宋_GB2312" w:eastAsia="仿宋_GB2312"/>
          <w:b w:val="0"/>
          <w:color w:val="000000"/>
          <w:sz w:val="32"/>
        </w:rPr>
        <w:t>技术方向上，公司明确锚定高端化、智能化、数字化、绿色化主攻方向，在植物油变压器、非晶合金变压器、智能在线监测变压器等高附加值产品上持续投入，研发能力在县域制造企业中处于第一梯队，也是其与海信智慧能源战略协同的技术底座。</w:t>
      </w:r>
    </w:p>
    <w:p>
      <w:pPr>
        <w:spacing w:lineRule="exact" w:line="600" w:before="120" w:after="120"/>
        <w:ind w:firstLine="420"/>
        <w:jc w:val="left"/>
      </w:pPr>
      <w:r>
        <w:rPr>
          <w:rFonts w:ascii="楷体_GB2312" w:hAnsi="楷体_GB2312" w:eastAsia="楷体_GB2312"/>
          <w:b w:val="0"/>
          <w:color w:val="000000"/>
          <w:sz w:val="32"/>
        </w:rPr>
        <w:t>（四）资质认证与品牌荣誉</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类别</w:t>
            </w:r>
          </w:p>
        </w:tc>
        <w:tc>
          <w:tcPr>
            <w:tcW w:type="dxa" w:w="2948"/>
          </w:tcPr>
          <w:p>
            <w:pPr>
              <w:spacing w:lineRule="exact" w:line="600"/>
              <w:jc w:val="center"/>
            </w:pPr>
            <w:r/>
            <w:r>
              <w:rPr>
                <w:rFonts w:ascii="黑体" w:hAnsi="黑体" w:eastAsia="黑体"/>
                <w:b/>
                <w:color w:val="000000"/>
                <w:sz w:val="32"/>
              </w:rPr>
              <w:t>资质或荣誉</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企业资质</w:t>
            </w:r>
          </w:p>
        </w:tc>
        <w:tc>
          <w:tcPr>
            <w:tcW w:type="dxa" w:w="2948"/>
          </w:tcPr>
          <w:p>
            <w:pPr>
              <w:spacing w:lineRule="exact" w:line="600"/>
              <w:jc w:val="center"/>
            </w:pPr>
            <w:r/>
            <w:r>
              <w:rPr>
                <w:rFonts w:ascii="仿宋_GB2312" w:hAnsi="仿宋_GB2312" w:eastAsia="仿宋_GB2312"/>
                <w:b w:val="0"/>
                <w:color w:val="000000"/>
                <w:sz w:val="32"/>
              </w:rPr>
              <w:t>国家级高新技术企业</w:t>
            </w:r>
          </w:p>
        </w:tc>
        <w:tc>
          <w:tcPr>
            <w:tcW w:type="dxa" w:w="2948"/>
          </w:tcPr>
          <w:p>
            <w:pPr>
              <w:spacing w:lineRule="exact" w:line="600"/>
              <w:jc w:val="center"/>
            </w:pPr>
            <w:r/>
            <w:r>
              <w:rPr>
                <w:rFonts w:ascii="仿宋_GB2312" w:hAnsi="仿宋_GB2312" w:eastAsia="仿宋_GB2312"/>
                <w:b w:val="0"/>
                <w:color w:val="000000"/>
                <w:sz w:val="32"/>
              </w:rPr>
              <w:t>持续有效</w:t>
            </w:r>
          </w:p>
        </w:tc>
      </w:tr>
      <w:tr>
        <w:tc>
          <w:tcPr>
            <w:tcW w:type="dxa" w:w="2948"/>
          </w:tcPr>
          <w:p>
            <w:pPr>
              <w:spacing w:lineRule="exact" w:line="600"/>
              <w:jc w:val="center"/>
            </w:pPr>
            <w:r/>
            <w:r>
              <w:rPr>
                <w:rFonts w:ascii="仿宋_GB2312" w:hAnsi="仿宋_GB2312" w:eastAsia="仿宋_GB2312"/>
                <w:b w:val="0"/>
                <w:color w:val="000000"/>
                <w:sz w:val="32"/>
              </w:rPr>
              <w:t>产品资质</w:t>
            </w:r>
          </w:p>
        </w:tc>
        <w:tc>
          <w:tcPr>
            <w:tcW w:type="dxa" w:w="2948"/>
          </w:tcPr>
          <w:p>
            <w:pPr>
              <w:spacing w:lineRule="exact" w:line="600"/>
              <w:jc w:val="center"/>
            </w:pPr>
            <w:r/>
            <w:r>
              <w:rPr>
                <w:rFonts w:ascii="仿宋_GB2312" w:hAnsi="仿宋_GB2312" w:eastAsia="仿宋_GB2312"/>
                <w:b w:val="0"/>
                <w:color w:val="000000"/>
                <w:sz w:val="32"/>
              </w:rPr>
              <w:t>750kV级及以下变压器生产资质、型式试验报告</w:t>
            </w:r>
          </w:p>
        </w:tc>
        <w:tc>
          <w:tcPr>
            <w:tcW w:type="dxa" w:w="2948"/>
          </w:tcPr>
          <w:p>
            <w:pPr>
              <w:spacing w:lineRule="exact" w:line="600"/>
              <w:jc w:val="center"/>
            </w:pPr>
            <w:r/>
            <w:r>
              <w:rPr>
                <w:rFonts w:ascii="仿宋_GB2312" w:hAnsi="仿宋_GB2312" w:eastAsia="仿宋_GB2312"/>
                <w:b w:val="0"/>
                <w:color w:val="000000"/>
                <w:sz w:val="32"/>
              </w:rPr>
              <w:t>覆盖主流电压等级</w:t>
            </w:r>
          </w:p>
        </w:tc>
      </w:tr>
      <w:tr>
        <w:tc>
          <w:tcPr>
            <w:tcW w:type="dxa" w:w="2948"/>
          </w:tcPr>
          <w:p>
            <w:pPr>
              <w:spacing w:lineRule="exact" w:line="600"/>
              <w:jc w:val="center"/>
            </w:pPr>
            <w:r/>
            <w:r>
              <w:rPr>
                <w:rFonts w:ascii="仿宋_GB2312" w:hAnsi="仿宋_GB2312" w:eastAsia="仿宋_GB2312"/>
                <w:b w:val="0"/>
                <w:color w:val="000000"/>
                <w:sz w:val="32"/>
              </w:rPr>
              <w:t>创新平台</w:t>
            </w:r>
          </w:p>
        </w:tc>
        <w:tc>
          <w:tcPr>
            <w:tcW w:type="dxa" w:w="2948"/>
          </w:tcPr>
          <w:p>
            <w:pPr>
              <w:spacing w:lineRule="exact" w:line="600"/>
              <w:jc w:val="center"/>
            </w:pPr>
            <w:r/>
            <w:r>
              <w:rPr>
                <w:rFonts w:ascii="仿宋_GB2312" w:hAnsi="仿宋_GB2312" w:eastAsia="仿宋_GB2312"/>
                <w:b w:val="0"/>
                <w:color w:val="000000"/>
                <w:sz w:val="32"/>
              </w:rPr>
              <w:t>山东省电力变压器环保高效智能化技术重点实验室</w:t>
            </w:r>
          </w:p>
        </w:tc>
        <w:tc>
          <w:tcPr>
            <w:tcW w:type="dxa" w:w="2948"/>
          </w:tcPr>
          <w:p>
            <w:pPr>
              <w:spacing w:lineRule="exact" w:line="600"/>
              <w:jc w:val="center"/>
            </w:pPr>
            <w:r/>
            <w:r>
              <w:rPr>
                <w:rFonts w:ascii="仿宋_GB2312" w:hAnsi="仿宋_GB2312" w:eastAsia="仿宋_GB2312"/>
                <w:b w:val="0"/>
                <w:color w:val="000000"/>
                <w:sz w:val="32"/>
              </w:rPr>
              <w:t>2024年联合组建</w:t>
            </w:r>
          </w:p>
        </w:tc>
      </w:tr>
      <w:tr>
        <w:tc>
          <w:tcPr>
            <w:tcW w:type="dxa" w:w="2948"/>
          </w:tcPr>
          <w:p>
            <w:pPr>
              <w:spacing w:lineRule="exact" w:line="600"/>
              <w:jc w:val="center"/>
            </w:pPr>
            <w:r/>
            <w:r>
              <w:rPr>
                <w:rFonts w:ascii="仿宋_GB2312" w:hAnsi="仿宋_GB2312" w:eastAsia="仿宋_GB2312"/>
                <w:b w:val="0"/>
                <w:color w:val="000000"/>
                <w:sz w:val="32"/>
              </w:rPr>
              <w:t>国际认证</w:t>
            </w:r>
          </w:p>
        </w:tc>
        <w:tc>
          <w:tcPr>
            <w:tcW w:type="dxa" w:w="2948"/>
          </w:tcPr>
          <w:p>
            <w:pPr>
              <w:spacing w:lineRule="exact" w:line="600"/>
              <w:jc w:val="center"/>
            </w:pPr>
            <w:r/>
            <w:r>
              <w:rPr>
                <w:rFonts w:ascii="仿宋_GB2312" w:hAnsi="仿宋_GB2312" w:eastAsia="仿宋_GB2312"/>
                <w:b w:val="0"/>
                <w:color w:val="000000"/>
                <w:sz w:val="32"/>
              </w:rPr>
              <w:t>植物油变压器通过UL认证</w:t>
            </w:r>
          </w:p>
        </w:tc>
        <w:tc>
          <w:tcPr>
            <w:tcW w:type="dxa" w:w="2948"/>
          </w:tcPr>
          <w:p>
            <w:pPr>
              <w:spacing w:lineRule="exact" w:line="600"/>
              <w:jc w:val="center"/>
            </w:pPr>
            <w:r/>
            <w:r>
              <w:rPr>
                <w:rFonts w:ascii="仿宋_GB2312" w:hAnsi="仿宋_GB2312" w:eastAsia="仿宋_GB2312"/>
                <w:b w:val="0"/>
                <w:color w:val="000000"/>
                <w:sz w:val="32"/>
              </w:rPr>
              <w:t>出口美国市场准入</w:t>
            </w:r>
          </w:p>
        </w:tc>
      </w:tr>
      <w:tr>
        <w:tc>
          <w:tcPr>
            <w:tcW w:type="dxa" w:w="2948"/>
          </w:tcPr>
          <w:p>
            <w:pPr>
              <w:spacing w:lineRule="exact" w:line="600"/>
              <w:jc w:val="center"/>
            </w:pPr>
            <w:r/>
            <w:r>
              <w:rPr>
                <w:rFonts w:ascii="仿宋_GB2312" w:hAnsi="仿宋_GB2312" w:eastAsia="仿宋_GB2312"/>
                <w:b w:val="0"/>
                <w:color w:val="000000"/>
                <w:sz w:val="32"/>
              </w:rPr>
              <w:t>集群地位</w:t>
            </w:r>
          </w:p>
        </w:tc>
        <w:tc>
          <w:tcPr>
            <w:tcW w:type="dxa" w:w="2948"/>
          </w:tcPr>
          <w:p>
            <w:pPr>
              <w:spacing w:lineRule="exact" w:line="600"/>
              <w:jc w:val="center"/>
            </w:pPr>
            <w:r/>
            <w:r>
              <w:rPr>
                <w:rFonts w:ascii="仿宋_GB2312" w:hAnsi="仿宋_GB2312" w:eastAsia="仿宋_GB2312"/>
                <w:b w:val="0"/>
                <w:color w:val="000000"/>
                <w:sz w:val="32"/>
              </w:rPr>
              <w:t>成武输变电装备集群链主企业、领航企业</w:t>
            </w:r>
          </w:p>
        </w:tc>
        <w:tc>
          <w:tcPr>
            <w:tcW w:type="dxa" w:w="2948"/>
          </w:tcPr>
          <w:p>
            <w:pPr>
              <w:spacing w:lineRule="exact" w:line="600"/>
              <w:jc w:val="center"/>
            </w:pPr>
            <w:r/>
            <w:r>
              <w:rPr>
                <w:rFonts w:ascii="仿宋_GB2312" w:hAnsi="仿宋_GB2312" w:eastAsia="仿宋_GB2312"/>
                <w:b w:val="0"/>
                <w:color w:val="000000"/>
                <w:sz w:val="32"/>
              </w:rPr>
              <w:t>县域龙头</w:t>
            </w:r>
          </w:p>
        </w:tc>
      </w:tr>
      <w:tr>
        <w:tc>
          <w:tcPr>
            <w:tcW w:type="dxa" w:w="2948"/>
          </w:tcPr>
          <w:p>
            <w:pPr>
              <w:spacing w:lineRule="exact" w:line="600"/>
              <w:jc w:val="center"/>
            </w:pPr>
            <w:r/>
            <w:r>
              <w:rPr>
                <w:rFonts w:ascii="仿宋_GB2312" w:hAnsi="仿宋_GB2312" w:eastAsia="仿宋_GB2312"/>
                <w:b w:val="0"/>
                <w:color w:val="000000"/>
                <w:sz w:val="32"/>
              </w:rPr>
              <w:t>资本属性</w:t>
            </w:r>
          </w:p>
        </w:tc>
        <w:tc>
          <w:tcPr>
            <w:tcW w:type="dxa" w:w="2948"/>
          </w:tcPr>
          <w:p>
            <w:pPr>
              <w:spacing w:lineRule="exact" w:line="600"/>
              <w:jc w:val="center"/>
            </w:pPr>
            <w:r/>
            <w:r>
              <w:rPr>
                <w:rFonts w:ascii="仿宋_GB2312" w:hAnsi="仿宋_GB2312" w:eastAsia="仿宋_GB2312"/>
                <w:b w:val="0"/>
                <w:color w:val="000000"/>
                <w:sz w:val="32"/>
              </w:rPr>
              <w:t>海信集团控股成员企业（65%股权）</w:t>
            </w:r>
          </w:p>
        </w:tc>
        <w:tc>
          <w:tcPr>
            <w:tcW w:type="dxa" w:w="2948"/>
          </w:tcPr>
          <w:p>
            <w:pPr>
              <w:spacing w:lineRule="exact" w:line="600"/>
              <w:jc w:val="center"/>
            </w:pPr>
            <w:r/>
            <w:r>
              <w:rPr>
                <w:rFonts w:ascii="仿宋_GB2312" w:hAnsi="仿宋_GB2312" w:eastAsia="仿宋_GB2312"/>
                <w:b w:val="0"/>
                <w:color w:val="000000"/>
                <w:sz w:val="32"/>
              </w:rPr>
              <w:t>2026年4月起</w:t>
            </w:r>
          </w:p>
        </w:tc>
      </w:tr>
      <w:tr>
        <w:tc>
          <w:tcPr>
            <w:tcW w:type="dxa" w:w="2948"/>
          </w:tcPr>
          <w:p>
            <w:pPr>
              <w:spacing w:lineRule="exact" w:line="600"/>
              <w:jc w:val="center"/>
            </w:pPr>
            <w:r/>
            <w:r>
              <w:rPr>
                <w:rFonts w:ascii="仿宋_GB2312" w:hAnsi="仿宋_GB2312" w:eastAsia="仿宋_GB2312"/>
                <w:b w:val="0"/>
                <w:color w:val="000000"/>
                <w:sz w:val="32"/>
              </w:rPr>
              <w:t>研发项目</w:t>
            </w:r>
          </w:p>
        </w:tc>
        <w:tc>
          <w:tcPr>
            <w:tcW w:type="dxa" w:w="2948"/>
          </w:tcPr>
          <w:p>
            <w:pPr>
              <w:spacing w:lineRule="exact" w:line="600"/>
              <w:jc w:val="center"/>
            </w:pPr>
            <w:r/>
            <w:r>
              <w:rPr>
                <w:rFonts w:ascii="仿宋_GB2312" w:hAnsi="仿宋_GB2312" w:eastAsia="仿宋_GB2312"/>
                <w:b w:val="0"/>
                <w:color w:val="000000"/>
                <w:sz w:val="32"/>
              </w:rPr>
              <w:t>山东省重点研发计划（棉籽油绿色高性能变压器）</w:t>
            </w:r>
          </w:p>
        </w:tc>
        <w:tc>
          <w:tcPr>
            <w:tcW w:type="dxa" w:w="2948"/>
          </w:tcPr>
          <w:p>
            <w:pPr>
              <w:spacing w:lineRule="exact" w:line="600"/>
              <w:jc w:val="center"/>
            </w:pPr>
            <w:r/>
            <w:r>
              <w:rPr>
                <w:rFonts w:ascii="仿宋_GB2312" w:hAnsi="仿宋_GB2312" w:eastAsia="仿宋_GB2312"/>
                <w:b w:val="0"/>
                <w:color w:val="000000"/>
                <w:sz w:val="32"/>
              </w:rPr>
              <w:t>2025年立项</w:t>
            </w:r>
          </w:p>
        </w:tc>
      </w:tr>
    </w:tbl>
    <w:p>
      <w:pPr>
        <w:spacing w:lineRule="exact" w:line="600" w:before="0" w:after="0"/>
        <w:ind w:firstLine="420"/>
        <w:jc w:val="both"/>
      </w:pPr>
      <w:r>
        <w:rPr>
          <w:rFonts w:ascii="仿宋_GB2312" w:hAnsi="仿宋_GB2312" w:eastAsia="仿宋_GB2312"/>
          <w:b w:val="0"/>
          <w:color w:val="000000"/>
          <w:sz w:val="32"/>
        </w:rPr>
        <w:t>上述资质与荣誉构成了企业参与国网、南网集中招标及重大工程配套的基础门槛。其中，超高压变压器的型式试验报告与入网资质是行业最核心的壁垒，也是企业区别于县域中小配套企业的关键护城河。海信入主后，企业的品牌背书与资信水平进一步提升，有利于在高端客户与海外市场中争取更大份额。</w:t>
      </w:r>
    </w:p>
    <w:p>
      <w:pPr>
        <w:spacing w:lineRule="exact" w:line="600" w:before="120" w:after="120"/>
        <w:ind w:firstLine="420"/>
        <w:jc w:val="left"/>
      </w:pPr>
      <w:r>
        <w:rPr>
          <w:rFonts w:ascii="楷体_GB2312" w:hAnsi="楷体_GB2312" w:eastAsia="楷体_GB2312"/>
          <w:b w:val="0"/>
          <w:color w:val="000000"/>
          <w:sz w:val="32"/>
        </w:rPr>
        <w:t>（五）社会责任与地方带动</w:t>
      </w:r>
    </w:p>
    <w:p>
      <w:pPr>
        <w:spacing w:lineRule="exact" w:line="600" w:before="0" w:after="0"/>
        <w:ind w:firstLine="420"/>
        <w:jc w:val="both"/>
      </w:pPr>
      <w:r>
        <w:rPr>
          <w:rFonts w:ascii="仿宋_GB2312" w:hAnsi="仿宋_GB2312" w:eastAsia="仿宋_GB2312"/>
          <w:b w:val="0"/>
          <w:color w:val="000000"/>
          <w:sz w:val="32"/>
        </w:rPr>
        <w:t>作为成武县最大的制造业企业与纳税、就业主力，达驰电气在县域经济中承担着显著的稳就业、稳产业链功能。公司参保人数约785人，并直接带动上下游配套企业数以百计，是成武"工业立县"战略的核心支撑。在海信并购过程中，企业明确提出"力争2026年营收20亿元、三年突破50亿元"的目标，将进一步放大对地方经济的拉动效应。</w:t>
      </w:r>
    </w:p>
    <w:p>
      <w:pPr>
        <w:spacing w:lineRule="exact" w:line="600" w:before="0" w:after="0"/>
        <w:ind w:firstLine="420"/>
        <w:jc w:val="both"/>
      </w:pPr>
      <w:r>
        <w:rPr>
          <w:rFonts w:ascii="仿宋_GB2312" w:hAnsi="仿宋_GB2312" w:eastAsia="仿宋_GB2312"/>
          <w:b w:val="0"/>
          <w:color w:val="000000"/>
          <w:sz w:val="32"/>
        </w:rPr>
        <w:t>在绿色低碳与安全生产方面，企业推动植物油变压器、节能变压器等绿色产品研发，并依托智能产线与试验能力强化质量安全管控，是成武县"高端化、智能化、绿色化"制造转型的标杆样本。</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（一）财务信息披露状况</w:t>
      </w:r>
    </w:p>
    <w:p>
      <w:pPr>
        <w:spacing w:lineRule="exact" w:line="600" w:before="0" w:after="0"/>
        <w:ind w:firstLine="420"/>
        <w:jc w:val="both"/>
      </w:pPr>
      <w:r>
        <w:rPr>
          <w:rFonts w:ascii="仿宋_GB2312" w:hAnsi="仿宋_GB2312" w:eastAsia="仿宋_GB2312"/>
          <w:b w:val="0"/>
          <w:color w:val="000000"/>
          <w:sz w:val="32"/>
        </w:rPr>
        <w:t>公司为非上市有限责任公司，现由海信网络能源持股65%为控股股东，不属于《证券法》规定的信息披露义务人，亦未发行公司债券或资产支持证券，未在任何公开渠道披露经审计的资产负债表、利润表、现金流量表及财务报表附注。尽管作为省属国资权属企业期间，其财务数据或间接体现于水发集团相关披露中，但截至本报告统计时点，通过国家企业信用信息公示系统、巨潮资讯网、中国货币网、上海清算所等渠道检索，均未获取到公司独立的定期财务报告。</w:t>
      </w:r>
    </w:p>
    <w:p>
      <w:pPr>
        <w:spacing w:lineRule="exact" w:line="600" w:before="0" w:after="0"/>
        <w:jc w:val="left"/>
      </w:pPr>
      <w:r>
        <w:rPr>
          <w:rFonts w:ascii="仿宋_GB2312" w:hAnsi="仿宋_GB2312" w:eastAsia="仿宋_GB2312"/>
          <w:b w:val="0"/>
          <w:color w:val="000000"/>
          <w:sz w:val="28"/>
        </w:rPr>
        <w:t>据此，本报告对公司财务状况的判断如实标注为：财务数据未公开披露。以下分析仅基于工商公示的资本信息、公开报道的产值与资产规模、以及行业普遍经营特征展开定性推断，不构成对具体财务指标的估算，相关结论不得作为授信决策的直接依据。公开报道中的"产值"为工业总产值口径，不等同于营业收入或利润。</w:t>
      </w:r>
    </w:p>
    <w:p>
      <w:pPr>
        <w:spacing w:lineRule="exact" w:line="600" w:before="120" w:after="120"/>
        <w:ind w:firstLine="420"/>
        <w:jc w:val="left"/>
      </w:pPr>
      <w:r>
        <w:rPr>
          <w:rFonts w:ascii="楷体_GB2312" w:hAnsi="楷体_GB2312" w:eastAsia="楷体_GB2312"/>
          <w:b w:val="0"/>
          <w:color w:val="000000"/>
          <w:sz w:val="32"/>
        </w:rPr>
        <w:t>（二）可获取的资本与规模指标</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数值/状态</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约10498.67万元人民币</w:t>
            </w:r>
          </w:p>
        </w:tc>
        <w:tc>
          <w:tcPr>
            <w:tcW w:type="dxa" w:w="2948"/>
          </w:tcPr>
          <w:p>
            <w:pPr>
              <w:spacing w:lineRule="exact" w:line="600"/>
              <w:jc w:val="center"/>
            </w:pPr>
            <w:r/>
            <w:r>
              <w:rPr>
                <w:rFonts w:ascii="仿宋_GB2312" w:hAnsi="仿宋_GB2312" w:eastAsia="仿宋_GB2312"/>
                <w:b w:val="0"/>
                <w:color w:val="000000"/>
                <w:sz w:val="32"/>
              </w:rPr>
              <w:t>工商登记</w:t>
            </w:r>
          </w:p>
        </w:tc>
      </w:tr>
      <w:tr>
        <w:tc>
          <w:tcPr>
            <w:tcW w:type="dxa" w:w="2948"/>
          </w:tcPr>
          <w:p>
            <w:pPr>
              <w:spacing w:lineRule="exact" w:line="600"/>
              <w:jc w:val="center"/>
            </w:pPr>
            <w:r/>
            <w:r>
              <w:rPr>
                <w:rFonts w:ascii="仿宋_GB2312" w:hAnsi="仿宋_GB2312" w:eastAsia="仿宋_GB2312"/>
                <w:b w:val="0"/>
                <w:color w:val="000000"/>
                <w:sz w:val="32"/>
              </w:rPr>
              <w:t>实缴资本</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以公示为准</w:t>
            </w:r>
          </w:p>
        </w:tc>
      </w:tr>
      <w:tr>
        <w:tc>
          <w:tcPr>
            <w:tcW w:type="dxa" w:w="2948"/>
          </w:tcPr>
          <w:p>
            <w:pPr>
              <w:spacing w:lineRule="exact" w:line="600"/>
              <w:jc w:val="center"/>
            </w:pPr>
            <w:r/>
            <w:r>
              <w:rPr>
                <w:rFonts w:ascii="仿宋_GB2312" w:hAnsi="仿宋_GB2312" w:eastAsia="仿宋_GB2312"/>
                <w:b w:val="0"/>
                <w:color w:val="000000"/>
                <w:sz w:val="32"/>
              </w:rPr>
              <w:t>总资产</w:t>
            </w:r>
          </w:p>
        </w:tc>
        <w:tc>
          <w:tcPr>
            <w:tcW w:type="dxa" w:w="2948"/>
          </w:tcPr>
          <w:p>
            <w:pPr>
              <w:spacing w:lineRule="exact" w:line="600"/>
              <w:jc w:val="center"/>
            </w:pPr>
            <w:r/>
            <w:r>
              <w:rPr>
                <w:rFonts w:ascii="仿宋_GB2312" w:hAnsi="仿宋_GB2312" w:eastAsia="仿宋_GB2312"/>
                <w:b w:val="0"/>
                <w:color w:val="000000"/>
                <w:sz w:val="32"/>
              </w:rPr>
              <w:t>约26亿元</w:t>
            </w:r>
          </w:p>
        </w:tc>
        <w:tc>
          <w:tcPr>
            <w:tcW w:type="dxa" w:w="2948"/>
          </w:tcPr>
          <w:p>
            <w:pPr>
              <w:spacing w:lineRule="exact" w:line="600"/>
              <w:jc w:val="center"/>
            </w:pPr>
            <w:r/>
            <w:r>
              <w:rPr>
                <w:rFonts w:ascii="仿宋_GB2312" w:hAnsi="仿宋_GB2312" w:eastAsia="仿宋_GB2312"/>
                <w:b w:val="0"/>
                <w:color w:val="000000"/>
                <w:sz w:val="32"/>
              </w:rPr>
              <w:t>公开报道（非审计口径）</w:t>
            </w:r>
          </w:p>
        </w:tc>
      </w:tr>
      <w:tr>
        <w:tc>
          <w:tcPr>
            <w:tcW w:type="dxa" w:w="2948"/>
          </w:tcPr>
          <w:p>
            <w:pPr>
              <w:spacing w:lineRule="exact" w:line="600"/>
              <w:jc w:val="center"/>
            </w:pPr>
            <w:r/>
            <w:r>
              <w:rPr>
                <w:rFonts w:ascii="仿宋_GB2312" w:hAnsi="仿宋_GB2312" w:eastAsia="仿宋_GB2312"/>
                <w:b w:val="0"/>
                <w:color w:val="000000"/>
                <w:sz w:val="32"/>
              </w:rPr>
              <w:t>营业收入</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净利润</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2025年产值</w:t>
            </w:r>
          </w:p>
        </w:tc>
        <w:tc>
          <w:tcPr>
            <w:tcW w:type="dxa" w:w="2948"/>
          </w:tcPr>
          <w:p>
            <w:pPr>
              <w:spacing w:lineRule="exact" w:line="600"/>
              <w:jc w:val="center"/>
            </w:pPr>
            <w:r/>
            <w:r>
              <w:rPr>
                <w:rFonts w:ascii="仿宋_GB2312" w:hAnsi="仿宋_GB2312" w:eastAsia="仿宋_GB2312"/>
                <w:b w:val="0"/>
                <w:color w:val="000000"/>
                <w:sz w:val="32"/>
              </w:rPr>
              <w:t>13.8亿元（同比+23.6%）</w:t>
            </w:r>
          </w:p>
        </w:tc>
        <w:tc>
          <w:tcPr>
            <w:tcW w:type="dxa" w:w="2948"/>
          </w:tcPr>
          <w:p>
            <w:pPr>
              <w:spacing w:lineRule="exact" w:line="600"/>
              <w:jc w:val="center"/>
            </w:pPr>
            <w:r/>
            <w:r>
              <w:rPr>
                <w:rFonts w:ascii="仿宋_GB2312" w:hAnsi="仿宋_GB2312" w:eastAsia="仿宋_GB2312"/>
                <w:b w:val="0"/>
                <w:color w:val="000000"/>
                <w:sz w:val="32"/>
              </w:rPr>
              <w:t>工业总产值口径</w:t>
            </w:r>
          </w:p>
        </w:tc>
      </w:tr>
      <w:tr>
        <w:tc>
          <w:tcPr>
            <w:tcW w:type="dxa" w:w="2948"/>
          </w:tcPr>
          <w:p>
            <w:pPr>
              <w:spacing w:lineRule="exact" w:line="600"/>
              <w:jc w:val="center"/>
            </w:pPr>
            <w:r/>
            <w:r>
              <w:rPr>
                <w:rFonts w:ascii="仿宋_GB2312" w:hAnsi="仿宋_GB2312" w:eastAsia="仿宋_GB2312"/>
                <w:b w:val="0"/>
                <w:color w:val="000000"/>
                <w:sz w:val="32"/>
              </w:rPr>
              <w:t>2026年Q1产值</w:t>
            </w:r>
          </w:p>
        </w:tc>
        <w:tc>
          <w:tcPr>
            <w:tcW w:type="dxa" w:w="2948"/>
          </w:tcPr>
          <w:p>
            <w:pPr>
              <w:spacing w:lineRule="exact" w:line="600"/>
              <w:jc w:val="center"/>
            </w:pPr>
            <w:r/>
            <w:r>
              <w:rPr>
                <w:rFonts w:ascii="仿宋_GB2312" w:hAnsi="仿宋_GB2312" w:eastAsia="仿宋_GB2312"/>
                <w:b w:val="0"/>
                <w:color w:val="000000"/>
                <w:sz w:val="32"/>
              </w:rPr>
              <w:t>4.8亿元</w:t>
            </w:r>
          </w:p>
        </w:tc>
        <w:tc>
          <w:tcPr>
            <w:tcW w:type="dxa" w:w="2948"/>
          </w:tcPr>
          <w:p>
            <w:pPr>
              <w:spacing w:lineRule="exact" w:line="600"/>
              <w:jc w:val="center"/>
            </w:pPr>
            <w:r/>
            <w:r>
              <w:rPr>
                <w:rFonts w:ascii="仿宋_GB2312" w:hAnsi="仿宋_GB2312" w:eastAsia="仿宋_GB2312"/>
                <w:b w:val="0"/>
                <w:color w:val="000000"/>
                <w:sz w:val="32"/>
              </w:rPr>
              <w:t>工业总产值口径</w:t>
            </w:r>
          </w:p>
        </w:tc>
      </w:tr>
      <w:tr>
        <w:tc>
          <w:tcPr>
            <w:tcW w:type="dxa" w:w="2948"/>
          </w:tcPr>
          <w:p>
            <w:pPr>
              <w:spacing w:lineRule="exact" w:line="600"/>
              <w:jc w:val="center"/>
            </w:pPr>
            <w:r/>
            <w:r>
              <w:rPr>
                <w:rFonts w:ascii="仿宋_GB2312" w:hAnsi="仿宋_GB2312" w:eastAsia="仿宋_GB2312"/>
                <w:b w:val="0"/>
                <w:color w:val="000000"/>
                <w:sz w:val="32"/>
              </w:rPr>
              <w:t>企业规模认定</w:t>
            </w:r>
          </w:p>
        </w:tc>
        <w:tc>
          <w:tcPr>
            <w:tcW w:type="dxa" w:w="2948"/>
          </w:tcPr>
          <w:p>
            <w:pPr>
              <w:spacing w:lineRule="exact" w:line="600"/>
              <w:jc w:val="center"/>
            </w:pPr>
            <w:r/>
            <w:r>
              <w:rPr>
                <w:rFonts w:ascii="仿宋_GB2312" w:hAnsi="仿宋_GB2312" w:eastAsia="仿宋_GB2312"/>
                <w:b w:val="0"/>
                <w:color w:val="000000"/>
                <w:sz w:val="32"/>
              </w:rPr>
              <w:t>大型（县域龙头）</w:t>
            </w:r>
          </w:p>
        </w:tc>
        <w:tc>
          <w:tcPr>
            <w:tcW w:type="dxa" w:w="2948"/>
          </w:tcPr>
          <w:p>
            <w:pPr>
              <w:spacing w:lineRule="exact" w:line="600"/>
              <w:jc w:val="center"/>
            </w:pPr>
            <w:r/>
            <w:r>
              <w:rPr>
                <w:rFonts w:ascii="仿宋_GB2312" w:hAnsi="仿宋_GB2312" w:eastAsia="仿宋_GB2312"/>
                <w:b w:val="0"/>
                <w:color w:val="000000"/>
                <w:sz w:val="32"/>
              </w:rPr>
              <w:t>与公示参保口径差异较大</w:t>
            </w:r>
          </w:p>
        </w:tc>
      </w:tr>
    </w:tbl>
    <w:p>
      <w:pPr>
        <w:spacing w:lineRule="exact" w:line="600" w:before="0" w:after="0"/>
        <w:ind w:firstLine="420"/>
        <w:jc w:val="both"/>
      </w:pPr>
      <w:r>
        <w:rPr>
          <w:rFonts w:ascii="仿宋_GB2312" w:hAnsi="仿宋_GB2312" w:eastAsia="仿宋_GB2312"/>
          <w:b w:val="0"/>
          <w:color w:val="000000"/>
          <w:sz w:val="32"/>
        </w:rPr>
        <w:t>需特别说明的是，公开报道的总资产约26亿元属于非审计口径的企业宣传或媒体报道数据，与经审计财务报表可能存在差异。在授信审查中，不应简单采信宣传口径，而应通过企业征信报告、银行流水、纳税申报表、资产评估报告等一手材料交叉验证真实资产规模与负债水平，尤其要关注并购中承接的历史债权（合计约2.92亿元）的清偿与账务处理方式。</w:t>
      </w:r>
    </w:p>
    <w:p>
      <w:pPr>
        <w:spacing w:lineRule="exact" w:line="600" w:before="120" w:after="120"/>
        <w:ind w:firstLine="420"/>
        <w:jc w:val="left"/>
      </w:pPr>
      <w:r>
        <w:rPr>
          <w:rFonts w:ascii="楷体_GB2312" w:hAnsi="楷体_GB2312" w:eastAsia="楷体_GB2312"/>
          <w:b w:val="0"/>
          <w:color w:val="000000"/>
          <w:sz w:val="32"/>
        </w:rPr>
        <w:t>（三）盈利能力的定性判断</w:t>
      </w:r>
    </w:p>
    <w:p>
      <w:pPr>
        <w:spacing w:lineRule="exact" w:line="600" w:before="0" w:after="0"/>
        <w:ind w:firstLine="420"/>
        <w:jc w:val="both"/>
      </w:pPr>
      <w:r>
        <w:rPr>
          <w:rFonts w:ascii="仿宋_GB2312" w:hAnsi="仿宋_GB2312" w:eastAsia="仿宋_GB2312"/>
          <w:b w:val="0"/>
          <w:color w:val="000000"/>
          <w:sz w:val="32"/>
        </w:rPr>
        <w:t>从行业与企业特征综合判断，公司盈利能力应处于国内变压器行业中上水平，主要依据有四：其一，产品结构覆盖超高压等高附加值品类，750kV变压器、植物油变压器等的单位价值量与毛利空间显著高于普通配电变压器；其二，作为国网、南网合格供应商，订单质量较高、回款保障较强；其三，海信入主后有望通过集中采购、数字化管理、渠道协同降本增效，改善盈利能力；其四，海外高增长订单（在手国际订单同比+50%）带来溢价空间。</w:t>
      </w:r>
    </w:p>
    <w:p>
      <w:pPr>
        <w:spacing w:lineRule="exact" w:line="600" w:before="0" w:after="0"/>
        <w:ind w:firstLine="420"/>
        <w:jc w:val="both"/>
      </w:pPr>
      <w:r>
        <w:rPr>
          <w:rFonts w:ascii="仿宋_GB2312" w:hAnsi="仿宋_GB2312" w:eastAsia="仿宋_GB2312"/>
          <w:b w:val="0"/>
          <w:color w:val="000000"/>
          <w:sz w:val="32"/>
        </w:rPr>
        <w:t>制约因素同样明显：变压器行业原材料（取向硅钢、铜、绝缘油）成本占比高达六成以上，价格随大宗商品波动；电网集中招标体制下价格竞争充分，毛利受压制；超高压产品研发与试验投入大、周期长，费用刚性；海信并购后的整合成本与协同兑现存在不确定性。</w:t>
      </w:r>
    </w:p>
    <w:p>
      <w:pPr>
        <w:spacing w:lineRule="exact" w:line="600" w:before="120" w:after="120"/>
        <w:ind w:firstLine="420"/>
        <w:jc w:val="left"/>
      </w:pPr>
      <w:r>
        <w:rPr>
          <w:rFonts w:ascii="楷体_GB2312" w:hAnsi="楷体_GB2312" w:eastAsia="楷体_GB2312"/>
          <w:b w:val="0"/>
          <w:color w:val="000000"/>
          <w:sz w:val="32"/>
        </w:rPr>
        <w:t>（四）偿债能力与流动性的定性判断</w:t>
      </w:r>
    </w:p>
    <w:p>
      <w:pPr>
        <w:spacing w:lineRule="exact" w:line="600" w:before="0" w:after="0"/>
        <w:ind w:firstLine="420"/>
        <w:jc w:val="both"/>
      </w:pPr>
      <w:r>
        <w:rPr>
          <w:rFonts w:ascii="仿宋_GB2312" w:hAnsi="仿宋_GB2312" w:eastAsia="仿宋_GB2312"/>
          <w:b w:val="0"/>
          <w:color w:val="000000"/>
          <w:sz w:val="32"/>
        </w:rPr>
        <w:t>公司注册资本超1亿元、总资产规模较大（报道约26亿元），反映股东真实投入与资产积累较为充分，资本缓冲相对厚实。但输变电装备制造属于典型的重资产、重营运资金行业：原材料需集中采购备货、产品按订单生产且生产周期长、电网客户回款存在一定账期，三项因素叠加导致营运资金占用较大；同时超高压产线、试验大厅等固定资产投资规模大，资产负债率的实际水平需在尽调中重点核实。</w:t>
      </w:r>
    </w:p>
    <w:p>
      <w:pPr>
        <w:spacing w:lineRule="exact" w:line="600" w:before="0" w:after="0"/>
        <w:ind w:firstLine="420"/>
        <w:jc w:val="both"/>
      </w:pPr>
      <w:r>
        <w:rPr>
          <w:rFonts w:ascii="仿宋_GB2312" w:hAnsi="仿宋_GB2312" w:eastAsia="仿宋_GB2312"/>
          <w:b w:val="0"/>
          <w:color w:val="000000"/>
          <w:sz w:val="32"/>
        </w:rPr>
        <w:t>在无法获取真实报表的情况下，建议通过以下方式对偿债能力进行穿透验证：一是调取企业近三年增值税纳税申报表与企业所得税年度汇算清缴报告，还原真实营收与利润规模；二是核查人民银行企业征信报告，掌握其在各金融机构的授信总量、用信余额、对外担保与还款记录；三是核查不动产登记与动产融资统一登记公示系统，确认厂房土地、生产设备是否已设定抵质押；四是核查并购债权交割与清偿安排，评估隐性债务风险。</w:t>
      </w:r>
    </w:p>
    <w:p>
      <w:pPr>
        <w:spacing w:lineRule="exact" w:line="600" w:before="120" w:after="120"/>
        <w:ind w:firstLine="420"/>
        <w:jc w:val="left"/>
      </w:pPr>
      <w:r>
        <w:rPr>
          <w:rFonts w:ascii="楷体_GB2312" w:hAnsi="楷体_GB2312" w:eastAsia="楷体_GB2312"/>
          <w:b w:val="0"/>
          <w:color w:val="000000"/>
          <w:sz w:val="32"/>
        </w:rPr>
        <w:t>（五）涉诉与信用风险信息</w:t>
      </w:r>
    </w:p>
    <w:p>
      <w:pPr>
        <w:spacing w:lineRule="exact" w:line="600" w:before="0" w:after="0"/>
        <w:ind w:firstLine="420"/>
        <w:jc w:val="both"/>
      </w:pPr>
      <w:r>
        <w:rPr>
          <w:rFonts w:ascii="仿宋_GB2312" w:hAnsi="仿宋_GB2312" w:eastAsia="仿宋_GB2312"/>
          <w:b w:val="0"/>
          <w:color w:val="000000"/>
          <w:sz w:val="32"/>
        </w:rPr>
        <w:t>据天眼查等平台大数据统计，公司存在涉诉信息约137条、天眼风险信息约1054条，涉诉绝对数量在同类大型制造企业中相对偏高，需逐案核查案由与结果。重点关注是否涉及买卖合同货款纠纷、产品质量责任、劳动争议、知识产权侵权，以及是否存在被执行、失信被执行、限制高消费、股权冻结、财产保全等严重负面记录。考虑到企业历史上经历国资重整（2020年）与多次股权变更，部分历史遗留纠纷可能反映在早期案件中，建议在尽调中按时间轴梳理涉诉脉络，区分存量风险与新增风险，并将企业征信、被执行信息作为授信准入的硬性核查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2026年4月海信并购完成后，公司由国有控股转变为海信集团控股的混合所有制企业，控股股东为青岛海信网络能源股份有限公司（持股65%）。公司治理将逐步对接海信集团现代企业制度：设立董事会、经营层，推行职业经理人管理与市场化考核，原国资股东退出控股地位、保留少数股权。这一治理转型有利于引入规范的财务、内控与风险管理体系，提升决策专业性与透明度。</w:t>
      </w:r>
    </w:p>
    <w:p>
      <w:pPr>
        <w:spacing w:lineRule="exact" w:line="600" w:before="0" w:after="0"/>
        <w:ind w:firstLine="420"/>
        <w:jc w:val="both"/>
      </w:pPr>
      <w:r>
        <w:rPr>
          <w:rFonts w:ascii="仿宋_GB2312" w:hAnsi="仿宋_GB2312" w:eastAsia="仿宋_GB2312"/>
          <w:b w:val="0"/>
          <w:color w:val="000000"/>
          <w:sz w:val="32"/>
        </w:rPr>
        <w:t>基于上述特点，在授信业务中应当要求公司提供海信入主后经审计的合并口径或本部财务会计报告，核查其财务独立性与并表关系；同时明确授信主体与还款来源，确认少数股东（原水发方）是否承担补充责任，以及并购承接债权的优先清偿顺序，避免因股权与债权结构复杂导致的偿债主体不清。</w:t>
      </w:r>
    </w:p>
    <w:p>
      <w:pPr>
        <w:spacing w:lineRule="exact" w:line="600" w:before="120" w:after="120"/>
        <w:ind w:firstLine="420"/>
        <w:jc w:val="left"/>
      </w:pPr>
      <w:r>
        <w:rPr>
          <w:rFonts w:ascii="楷体_GB2312" w:hAnsi="楷体_GB2312" w:eastAsia="楷体_GB2312"/>
          <w:b w:val="0"/>
          <w:color w:val="000000"/>
          <w:sz w:val="32"/>
        </w:rPr>
        <w:t>（二）经营管理体系</w:t>
      </w:r>
    </w:p>
    <w:p>
      <w:pPr>
        <w:spacing w:lineRule="exact" w:line="600" w:before="0" w:after="0"/>
        <w:ind w:firstLine="420"/>
        <w:jc w:val="both"/>
      </w:pPr>
      <w:r>
        <w:rPr>
          <w:rFonts w:ascii="仿宋_GB2312" w:hAnsi="仿宋_GB2312" w:eastAsia="仿宋_GB2312"/>
          <w:b w:val="0"/>
          <w:color w:val="000000"/>
          <w:sz w:val="32"/>
        </w:rPr>
        <w:t>公司建立了以质量管理与安全生产为核心的经营管理体系，配备高压试验大厅、绝缘试验、温升试验等全流程检测能力，形成从原材料进厂检验到成品出厂试验的质量控制链条。这一体系对变压器这类关系电网安全运行的重大设备而言，既是市场准入要求，也是企业规避重大产品责任风险的基础保障。</w:t>
      </w:r>
    </w:p>
    <w:p>
      <w:pPr>
        <w:spacing w:lineRule="exact" w:line="600" w:before="0" w:after="0"/>
        <w:ind w:firstLine="420"/>
        <w:jc w:val="both"/>
      </w:pPr>
      <w:r>
        <w:rPr>
          <w:rFonts w:ascii="仿宋_GB2312" w:hAnsi="仿宋_GB2312" w:eastAsia="仿宋_GB2312"/>
          <w:b w:val="0"/>
          <w:color w:val="000000"/>
          <w:sz w:val="32"/>
        </w:rPr>
        <w:t>海信入主后，企业可借助海信在智能制造、供应链管理、数字化运营方面的成熟经验，进一步提升生产计划、成本管控与质量追溯能力。管理层对外由海信智慧能源产业总裁史文伯主导战略，由副总经理张启雷等负责经营落地，治理层级与专业分工趋于清晰。</w:t>
      </w:r>
    </w:p>
    <w:p>
      <w:pPr>
        <w:spacing w:lineRule="exact" w:line="600" w:before="120" w:after="120"/>
        <w:ind w:firstLine="420"/>
        <w:jc w:val="left"/>
      </w:pPr>
      <w:r>
        <w:rPr>
          <w:rFonts w:ascii="楷体_GB2312" w:hAnsi="楷体_GB2312" w:eastAsia="楷体_GB2312"/>
          <w:b w:val="0"/>
          <w:color w:val="000000"/>
          <w:sz w:val="32"/>
        </w:rPr>
        <w:t>（三）人力资源状况</w:t>
      </w:r>
    </w:p>
    <w:p>
      <w:pPr>
        <w:spacing w:lineRule="exact" w:line="600" w:before="0" w:after="0"/>
        <w:ind w:firstLine="420"/>
        <w:jc w:val="both"/>
      </w:pPr>
      <w:r>
        <w:rPr>
          <w:rFonts w:ascii="仿宋_GB2312" w:hAnsi="仿宋_GB2312" w:eastAsia="仿宋_GB2312"/>
          <w:b w:val="0"/>
          <w:color w:val="000000"/>
          <w:sz w:val="32"/>
        </w:rPr>
        <w:t>公司参保人数约785人，是成武县规模最大的制造业用工主体之一，人员结构以生产操作工、技术研发人员、销售人员、质量检验与工程服务人员为主。作为拥有七十余年历史的老牌企业，公司在变压器设计、工艺、试验等领域积累了大量经验丰富的技术与技能人才，这是其核心竞争力的重要组成。</w:t>
      </w:r>
    </w:p>
    <w:p>
      <w:pPr>
        <w:spacing w:lineRule="exact" w:line="600" w:before="0" w:after="0"/>
        <w:ind w:firstLine="420"/>
        <w:jc w:val="both"/>
      </w:pPr>
      <w:r>
        <w:rPr>
          <w:rFonts w:ascii="仿宋_GB2312" w:hAnsi="仿宋_GB2312" w:eastAsia="仿宋_GB2312"/>
          <w:b w:val="0"/>
          <w:color w:val="000000"/>
          <w:sz w:val="32"/>
        </w:rPr>
        <w:t>人力资源方面的主要挑战有三：一是高端研发人才、国际化营销人才在县域区位下吸引力有限，需借助海信集团平台与产学研合作弥补；二是重资产制造属性下，一线技术工人队伍的稳定与技能传承至关重要；三是海信并购后的文化融合、考核激励衔接需要平稳过渡，避免核心人才流失。</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（一）区位与集群协同优势</w:t>
      </w:r>
    </w:p>
    <w:p>
      <w:pPr>
        <w:spacing w:lineRule="exact" w:line="600" w:before="0" w:after="0"/>
        <w:ind w:firstLine="420"/>
        <w:jc w:val="both"/>
      </w:pPr>
      <w:r>
        <w:rPr>
          <w:rFonts w:ascii="仿宋_GB2312" w:hAnsi="仿宋_GB2312" w:eastAsia="仿宋_GB2312"/>
          <w:b w:val="0"/>
          <w:color w:val="000000"/>
          <w:sz w:val="32"/>
        </w:rPr>
        <w:t>公司地处成武县输变电装备产业集群核心，作为链主企业享有显著的集群协同红利：一是配套齐全，从电磁线、硅钢材料、封闭母线到各类零部件可在县域内半小时车程内配套，采购与协作成本极低；二是产能弹性大，可依托137家中小微企业灵活调配产能；三是政策资源富集，作为省级特色产业集群与"雁阵形"集群的龙头，在项目建设、人才引进、展会支持、研发平台等方面可优先获得政府倾斜。</w:t>
      </w:r>
    </w:p>
    <w:p>
      <w:pPr>
        <w:spacing w:lineRule="exact" w:line="600" w:before="120" w:after="120"/>
        <w:ind w:firstLine="420"/>
        <w:jc w:val="left"/>
      </w:pPr>
      <w:r>
        <w:rPr>
          <w:rFonts w:ascii="楷体_GB2312" w:hAnsi="楷体_GB2312" w:eastAsia="楷体_GB2312"/>
          <w:b w:val="0"/>
          <w:color w:val="000000"/>
          <w:sz w:val="32"/>
        </w:rPr>
        <w:t>（二）技术与标准话语权</w:t>
      </w:r>
    </w:p>
    <w:p>
      <w:pPr>
        <w:spacing w:lineRule="exact" w:line="600" w:before="0" w:after="0"/>
        <w:ind w:firstLine="420"/>
        <w:jc w:val="both"/>
      </w:pPr>
      <w:r>
        <w:rPr>
          <w:rFonts w:ascii="仿宋_GB2312" w:hAnsi="仿宋_GB2312" w:eastAsia="仿宋_GB2312"/>
          <w:b w:val="0"/>
          <w:color w:val="000000"/>
          <w:sz w:val="32"/>
        </w:rPr>
        <w:t>公司拥有约362项专利、参与约12项标准制修订，在超高压变压器、节能与绿色变压器方向具备系统的基础专利与工艺诀窍，750kV级变压器的研制能力在国内民营企业中屈指可数。联合西安交大、山东省质检院组建的重点实验室，进一步巩固了其在电力变压器环保高效智能化领域的技术话语权。</w:t>
      </w:r>
    </w:p>
    <w:p>
      <w:pPr>
        <w:spacing w:lineRule="exact" w:line="600" w:before="120" w:after="120"/>
        <w:ind w:firstLine="420"/>
        <w:jc w:val="left"/>
      </w:pPr>
      <w:r>
        <w:rPr>
          <w:rFonts w:ascii="楷体_GB2312" w:hAnsi="楷体_GB2312" w:eastAsia="楷体_GB2312"/>
          <w:b w:val="0"/>
          <w:color w:val="000000"/>
          <w:sz w:val="32"/>
        </w:rPr>
        <w:t>（三）品牌与资本渠道优势</w:t>
      </w:r>
    </w:p>
    <w:p>
      <w:pPr>
        <w:spacing w:lineRule="exact" w:line="600" w:before="0" w:after="0"/>
        <w:ind w:firstLine="420"/>
        <w:jc w:val="both"/>
      </w:pPr>
      <w:r>
        <w:rPr>
          <w:rFonts w:ascii="仿宋_GB2312" w:hAnsi="仿宋_GB2312" w:eastAsia="仿宋_GB2312"/>
          <w:b w:val="0"/>
          <w:color w:val="000000"/>
          <w:sz w:val="32"/>
        </w:rPr>
        <w:t>达驰品牌在输变电行业积淀七十余年，是国网、南网及大型发电集团的长期合格供应商，品牌信誉与履约记录构成重要无形资产。2026年引入海信集团控股后，企业的资本实力、资信等级与品牌背书实现跃升——海信作为世界500强级别的头部企业，其信用背书将显著降低达驰的融资成本与融资门槛，并为海外业务拓展提供全球化渠道与品牌协同。</w:t>
      </w:r>
    </w:p>
    <w:p>
      <w:pPr>
        <w:spacing w:lineRule="exact" w:line="600" w:before="120" w:after="120"/>
        <w:ind w:firstLine="420"/>
        <w:jc w:val="left"/>
      </w:pPr>
      <w:r>
        <w:rPr>
          <w:rFonts w:ascii="楷体_GB2312" w:hAnsi="楷体_GB2312" w:eastAsia="楷体_GB2312"/>
          <w:b w:val="0"/>
          <w:color w:val="000000"/>
          <w:sz w:val="32"/>
        </w:rPr>
        <w:t>（四）产能与交付保障能力</w:t>
      </w:r>
    </w:p>
    <w:p>
      <w:pPr>
        <w:spacing w:lineRule="exact" w:line="600" w:before="0" w:after="0"/>
        <w:ind w:firstLine="420"/>
        <w:jc w:val="both"/>
      </w:pPr>
      <w:r>
        <w:rPr>
          <w:rFonts w:ascii="仿宋_GB2312" w:hAnsi="仿宋_GB2312" w:eastAsia="仿宋_GB2312"/>
          <w:b w:val="0"/>
          <w:color w:val="000000"/>
          <w:sz w:val="32"/>
        </w:rPr>
        <w:t>公司年产能8000万kVA、产品覆盖60个系列1000余个型号，拥有500kV超高压变压器年产约40台的专项能力，并配备高压试验大厅等关键设施。规模化产能与全流程自制能力，使其具备承接国网集中招标大单、重大工程定制订单的交付保障，这是中小配套企业难以企及的竞争壁垒。</w:t>
      </w:r>
    </w:p>
    <w:p>
      <w:pPr>
        <w:spacing w:lineRule="exact" w:line="600" w:before="120" w:after="120"/>
        <w:ind w:firstLine="420"/>
        <w:jc w:val="left"/>
      </w:pPr>
      <w:r>
        <w:rPr>
          <w:rFonts w:ascii="楷体_GB2312" w:hAnsi="楷体_GB2312" w:eastAsia="楷体_GB2312"/>
          <w:b w:val="0"/>
          <w:color w:val="000000"/>
          <w:sz w:val="32"/>
        </w:rPr>
        <w:t>（五）竞争劣势与短板</w:t>
      </w:r>
    </w:p>
    <w:p>
      <w:pPr>
        <w:spacing w:lineRule="exact" w:line="600" w:before="0" w:after="0"/>
        <w:ind w:firstLine="420"/>
        <w:jc w:val="both"/>
      </w:pPr>
      <w:r>
        <w:rPr>
          <w:rFonts w:ascii="仿宋_GB2312" w:hAnsi="仿宋_GB2312" w:eastAsia="仿宋_GB2312"/>
          <w:b w:val="0"/>
          <w:color w:val="000000"/>
          <w:sz w:val="32"/>
        </w:rPr>
        <w:t>一是财务透明度仍显不足。尽管海信入主将提升治理规范，但公司独立经审计财务信息尚未公开，金融机构的信息不对称成本仍高，客观上抬高融资门槛。</w:t>
      </w:r>
    </w:p>
    <w:p>
      <w:pPr>
        <w:spacing w:lineRule="exact" w:line="600" w:before="0" w:after="0"/>
        <w:ind w:firstLine="420"/>
        <w:jc w:val="both"/>
      </w:pPr>
      <w:r>
        <w:rPr>
          <w:rFonts w:ascii="仿宋_GB2312" w:hAnsi="仿宋_GB2312" w:eastAsia="仿宋_GB2312"/>
          <w:b w:val="0"/>
          <w:color w:val="000000"/>
          <w:sz w:val="32"/>
        </w:rPr>
        <w:t>二是历史包袱与整合风险。企业经历国资重整与多次股权变更，历史涉诉与隐性债务需持续出清；海信并购后的业务、文化、管理整合能否如期兑现协同效应，存在执行不确定性。</w:t>
      </w:r>
    </w:p>
    <w:p>
      <w:pPr>
        <w:spacing w:lineRule="exact" w:line="600" w:before="0" w:after="0"/>
        <w:ind w:firstLine="420"/>
        <w:jc w:val="both"/>
      </w:pPr>
      <w:r>
        <w:rPr>
          <w:rFonts w:ascii="仿宋_GB2312" w:hAnsi="仿宋_GB2312" w:eastAsia="仿宋_GB2312"/>
          <w:b w:val="0"/>
          <w:color w:val="000000"/>
          <w:sz w:val="32"/>
        </w:rPr>
        <w:t>三是客户与产品集中风险。对电网集中招标依赖度较高，价格竞争激烈；原材料成本占比大且波动明显，盈利对大宗商品价格敏感。</w:t>
      </w:r>
    </w:p>
    <w:p>
      <w:pPr>
        <w:spacing w:lineRule="exact" w:line="600" w:before="0" w:after="0"/>
        <w:ind w:firstLine="420"/>
        <w:jc w:val="both"/>
      </w:pPr>
      <w:r>
        <w:rPr>
          <w:rFonts w:ascii="仿宋_GB2312" w:hAnsi="仿宋_GB2312" w:eastAsia="仿宋_GB2312"/>
          <w:b w:val="0"/>
          <w:color w:val="000000"/>
          <w:sz w:val="32"/>
        </w:rPr>
        <w:t>四是县域区位约束。高端人才引进、供应链物流效率等仍受县域区位限制，需依托海信平台与产学研合作弥补。</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（一）原材料价格波动风险</w:t>
      </w:r>
    </w:p>
    <w:p>
      <w:pPr>
        <w:spacing w:lineRule="exact" w:line="600" w:before="0" w:after="0"/>
        <w:ind w:firstLine="420"/>
        <w:jc w:val="both"/>
      </w:pPr>
      <w:r>
        <w:rPr>
          <w:rFonts w:ascii="仿宋_GB2312" w:hAnsi="仿宋_GB2312" w:eastAsia="仿宋_GB2312"/>
          <w:b w:val="0"/>
          <w:color w:val="000000"/>
          <w:sz w:val="32"/>
        </w:rPr>
        <w:t>公司主要原材料为取向硅钢、铜导体、绝缘油、绝缘材料等，成本占产品总成本六成以上。取向硅钢与铜价受国际市场、供需格局与宏观政策影响波动明显，年度波动幅度可达两成以上。作为中型采购方，公司缺乏期货套保与长协议价能力，成本传导至下游存在时滞，价格上行期利润易被侵蚀。建议在授信方案中关注企业原材料备货策略与价格锁定机制，并将存货跌价风险纳入押品估值考量。</w:t>
      </w:r>
    </w:p>
    <w:p>
      <w:pPr>
        <w:spacing w:lineRule="exact" w:line="600" w:before="120" w:after="120"/>
        <w:ind w:firstLine="420"/>
        <w:jc w:val="left"/>
      </w:pPr>
      <w:r>
        <w:rPr>
          <w:rFonts w:ascii="楷体_GB2312" w:hAnsi="楷体_GB2312" w:eastAsia="楷体_GB2312"/>
          <w:b w:val="0"/>
          <w:color w:val="000000"/>
          <w:sz w:val="32"/>
        </w:rPr>
        <w:t>（二）产品质量与安全责任风险</w:t>
      </w:r>
    </w:p>
    <w:p>
      <w:pPr>
        <w:spacing w:lineRule="exact" w:line="600" w:before="0" w:after="0"/>
        <w:ind w:firstLine="420"/>
        <w:jc w:val="both"/>
      </w:pPr>
      <w:r>
        <w:rPr>
          <w:rFonts w:ascii="仿宋_GB2312" w:hAnsi="仿宋_GB2312" w:eastAsia="仿宋_GB2312"/>
          <w:b w:val="0"/>
          <w:color w:val="000000"/>
          <w:sz w:val="32"/>
        </w:rPr>
        <w:t>电力变压器直接关系电网安全运行，一旦发生质量事故，企业将面临民事赔偿、行政处罚乃至被列入供应商黑名单、丧失市场资格的严重后果。公司虽已建立完善的试验与质量管控体系，但超高压产品技术复杂、工况严苛，仍需重点关注其设计验证、生产过程控制与运维服务质量，建议在贷前核查产品型式试验报告有效期与近年质量投诉记录。</w:t>
      </w:r>
    </w:p>
    <w:p>
      <w:pPr>
        <w:spacing w:lineRule="exact" w:line="600" w:before="120" w:after="120"/>
        <w:ind w:firstLine="420"/>
        <w:jc w:val="left"/>
      </w:pPr>
      <w:r>
        <w:rPr>
          <w:rFonts w:ascii="楷体_GB2312" w:hAnsi="楷体_GB2312" w:eastAsia="楷体_GB2312"/>
          <w:b w:val="0"/>
          <w:color w:val="000000"/>
          <w:sz w:val="32"/>
        </w:rPr>
        <w:t>（三）国际贸易与汇率风险</w:t>
      </w:r>
    </w:p>
    <w:p>
      <w:pPr>
        <w:spacing w:lineRule="exact" w:line="600" w:before="0" w:after="0"/>
        <w:ind w:firstLine="420"/>
        <w:jc w:val="both"/>
      </w:pPr>
      <w:r>
        <w:rPr>
          <w:rFonts w:ascii="仿宋_GB2312" w:hAnsi="仿宋_GB2312" w:eastAsia="仿宋_GB2312"/>
          <w:b w:val="0"/>
          <w:color w:val="000000"/>
          <w:sz w:val="32"/>
        </w:rPr>
        <w:t>公司产品出口70余个国家和地区，海外业务占比与增速持续提高（在手国际订单同比+50%）。面临的风险包括：主要出口市场的技术性贸易壁垒与认证要求（如UL、欧标认证）、新兴市场客户信用风险与地缘政治动荡、人民币汇率双向波动对结汇收益的影响、国际海运费波动等。建议要求企业投保出口信用保险、运用远期结汇等工具管理汇率敞口，并对海外应收账款实施专项监控。</w:t>
      </w:r>
    </w:p>
    <w:p>
      <w:pPr>
        <w:spacing w:lineRule="exact" w:line="600" w:before="120" w:after="120"/>
        <w:ind w:firstLine="420"/>
        <w:jc w:val="left"/>
      </w:pPr>
      <w:r>
        <w:rPr>
          <w:rFonts w:ascii="楷体_GB2312" w:hAnsi="楷体_GB2312" w:eastAsia="楷体_GB2312"/>
          <w:b w:val="0"/>
          <w:color w:val="000000"/>
          <w:sz w:val="32"/>
        </w:rPr>
        <w:t>（四）行业竞争与产能过剩风险</w:t>
      </w:r>
    </w:p>
    <w:p>
      <w:pPr>
        <w:spacing w:lineRule="exact" w:line="600" w:before="0" w:after="0"/>
        <w:ind w:firstLine="420"/>
        <w:jc w:val="both"/>
      </w:pPr>
      <w:r>
        <w:rPr>
          <w:rFonts w:ascii="仿宋_GB2312" w:hAnsi="仿宋_GB2312" w:eastAsia="仿宋_GB2312"/>
          <w:b w:val="0"/>
          <w:color w:val="000000"/>
          <w:sz w:val="32"/>
        </w:rPr>
        <w:t>国内变压器行业企业众多、中低端产能充裕，在国网集中招标体制下价格竞争充分。同时，在"双碳"与电网投资加码背景下，高效节能变压器需求扩容也吸引大量资本进入，若高端产能扩张快于需求增长，可能形成阶段性结构性过剩。公司凭借超高压技术与海信背书具备差异化优势，但仍需警惕行业整体价格战对盈利的挤压。</w:t>
      </w:r>
    </w:p>
    <w:p>
      <w:pPr>
        <w:spacing w:lineRule="exact" w:line="600" w:before="120" w:after="120"/>
        <w:ind w:firstLine="420"/>
        <w:jc w:val="left"/>
      </w:pPr>
      <w:r>
        <w:rPr>
          <w:rFonts w:ascii="楷体_GB2312" w:hAnsi="楷体_GB2312" w:eastAsia="楷体_GB2312"/>
          <w:b w:val="0"/>
          <w:color w:val="000000"/>
          <w:sz w:val="32"/>
        </w:rPr>
        <w:t>（五）下游需求周期风险</w:t>
      </w:r>
    </w:p>
    <w:p>
      <w:pPr>
        <w:spacing w:lineRule="exact" w:line="600" w:before="0" w:after="0"/>
        <w:ind w:firstLine="420"/>
        <w:jc w:val="both"/>
      </w:pPr>
      <w:r>
        <w:rPr>
          <w:rFonts w:ascii="仿宋_GB2312" w:hAnsi="仿宋_GB2312" w:eastAsia="仿宋_GB2312"/>
          <w:b w:val="0"/>
          <w:color w:val="000000"/>
          <w:sz w:val="32"/>
        </w:rPr>
        <w:t>电网投资、新能源装机与基础设施建设的节奏直接决定变压器需求。尽管"十四五"及新型电力系统建设带来持续需求，但电网投资存在年度波动，新能源装机受政策与消纳能力影响；AI数据中心用电爆发虽为新变量，但其实际拉动力与时点存在不确定性。需求周期波动将通过订单节奏传导至企业营收与回款。</w:t>
      </w:r>
    </w:p>
    <w:p>
      <w:pPr>
        <w:spacing w:lineRule="exact" w:line="600" w:before="120" w:after="120"/>
        <w:ind w:firstLine="420"/>
        <w:jc w:val="left"/>
      </w:pPr>
      <w:r>
        <w:rPr>
          <w:rFonts w:ascii="楷体_GB2312" w:hAnsi="楷体_GB2312" w:eastAsia="楷体_GB2312"/>
          <w:b w:val="0"/>
          <w:color w:val="000000"/>
          <w:sz w:val="32"/>
        </w:rPr>
        <w:t>（六）环保与安全生产合规风险</w:t>
      </w:r>
    </w:p>
    <w:p>
      <w:pPr>
        <w:spacing w:lineRule="exact" w:line="600" w:before="0" w:after="0"/>
        <w:ind w:firstLine="420"/>
        <w:jc w:val="both"/>
      </w:pPr>
      <w:r>
        <w:rPr>
          <w:rFonts w:ascii="仿宋_GB2312" w:hAnsi="仿宋_GB2312" w:eastAsia="仿宋_GB2312"/>
          <w:b w:val="0"/>
          <w:color w:val="000000"/>
          <w:sz w:val="32"/>
        </w:rPr>
        <w:t>变压器制造涉及绝缘油贮存、漆包线生产、焊接、真空浇注等工序，存在有机废气排放、废油处置、消防安全等环保与安全监管重点。若发生环保处罚或安全生产事故，将直接导致停产整改，冲击订单交付与信用记录。建议在贷前实地核查排污许可、消防验收、安全生产标准化等级等合规文件，并将环保信用纳入监控。</w:t>
      </w:r>
    </w:p>
    <w:p>
      <w:pPr>
        <w:spacing w:lineRule="exact" w:line="600" w:before="120" w:after="120"/>
        <w:ind w:firstLine="420"/>
        <w:jc w:val="left"/>
      </w:pPr>
      <w:r>
        <w:rPr>
          <w:rFonts w:ascii="楷体_GB2312" w:hAnsi="楷体_GB2312" w:eastAsia="楷体_GB2312"/>
          <w:b w:val="0"/>
          <w:color w:val="000000"/>
          <w:sz w:val="32"/>
        </w:rPr>
        <w:t>（七）法律涉诉与关联风险</w:t>
      </w:r>
    </w:p>
    <w:p>
      <w:pPr>
        <w:spacing w:lineRule="exact" w:line="600" w:before="0" w:after="0"/>
        <w:ind w:firstLine="420"/>
        <w:jc w:val="both"/>
      </w:pPr>
      <w:r>
        <w:rPr>
          <w:rFonts w:ascii="仿宋_GB2312" w:hAnsi="仿宋_GB2312" w:eastAsia="仿宋_GB2312"/>
          <w:b w:val="0"/>
          <w:color w:val="000000"/>
          <w:sz w:val="32"/>
        </w:rPr>
        <w:t>公司存在涉诉约137条、天眼风险约1054条，数量相对偏高，需逐案核查案由、标的与结果，区分存量历史纠纷与新增经营纠纷。同时，公司对外投资达驰高压开关、驰翔电气等关联企业（本次一并被海信并购），需核查关联交易、资金往来与担保连带责任；并购承接的历史债权（合计约2.92亿元）的清偿安排亦须纳入风险敞口评估。</w:t>
      </w:r>
    </w:p>
    <w:p>
      <w:pPr>
        <w:spacing w:lineRule="exact" w:line="600" w:before="120" w:after="120"/>
        <w:ind w:firstLine="420"/>
        <w:jc w:val="left"/>
      </w:pPr>
      <w:r>
        <w:rPr>
          <w:rFonts w:ascii="楷体_GB2312" w:hAnsi="楷体_GB2312" w:eastAsia="楷体_GB2312"/>
          <w:b w:val="0"/>
          <w:color w:val="000000"/>
          <w:sz w:val="32"/>
        </w:rPr>
        <w:t>（八）并购整合与治理过渡风险</w:t>
      </w:r>
    </w:p>
    <w:p>
      <w:pPr>
        <w:spacing w:lineRule="exact" w:line="600" w:before="0" w:after="0"/>
        <w:ind w:firstLine="420"/>
        <w:jc w:val="both"/>
      </w:pPr>
      <w:r>
        <w:rPr>
          <w:rFonts w:ascii="仿宋_GB2312" w:hAnsi="仿宋_GB2312" w:eastAsia="仿宋_GB2312"/>
          <w:b w:val="0"/>
          <w:color w:val="000000"/>
          <w:sz w:val="32"/>
        </w:rPr>
        <w:t>海信并购虽带来重大利好，但整合期内存在治理过渡风险：企业文化融合、管理层调整、考核激励机制衔接、信息系统对接等均可能影响短期经营稳定性；若协同效应兑现不及预期，或宏观需求走弱，高基数下的增长目标可能承压。建议在授信方案中设置与整合进度、经营指标挂钩的动态调整机制。</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综合判断，公司当前的融资需求呈现"扩产投资+营运资金"双轮驱动特征。一方面，海信入主后企业提出2026年营收20亿元、三年突破50亿元的跃升目标，并在超高压、绿色变压器、海外市场上加速布局， corresponding capital expenditure on 产线升级、试验能力提升、海外渠道建设将持续处于高位；另一方面，重资产、长周期、电网回款账期的行业属性，使原材料备货、在制品与应收账款形成刚性营运资金占用，且并购承接的历史债权亦需资金统筹清偿。考虑到公司注册资本超1亿元、总资产规模较大、海信控股带来的资信跃升与渠道协同，具备承接综合金融服务的基础条件；但其独立财务信息尚不透明、涉诉数量偏高、股权与债权结构复杂，决定了业务方案设计必须强化交易背景真实性核验与海信信用协同的审慎运用。</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商业保理是与公司业务模式匹配度较高的产品。公司下游客户以国家电网、南方电网及大型发电集团为主，招标配套普遍存在3至12个月账期，形成规模可观的优质应收账款；海外业务则存在从发货到收汇的时间缺口。针对国内电网与发电集团应收账款，可开展以国网、南网及大型发电集团为付款人的有追索权保理，付款方资信优良、回款保障度高；针对出口应收账款，可在投保出口信用保险并办理赔款权益转让的前提下，开展出口保理，帮助企业提前回笼资金、缩短现金循环周期。</w:t>
      </w:r>
    </w:p>
    <w:p>
      <w:pPr>
        <w:spacing w:lineRule="exact" w:line="600" w:before="0" w:after="0"/>
        <w:ind w:firstLine="420"/>
        <w:jc w:val="both"/>
      </w:pPr>
      <w:r>
        <w:rPr>
          <w:rFonts w:ascii="仿宋_GB2312" w:hAnsi="仿宋_GB2312" w:eastAsia="仿宋_GB2312"/>
          <w:b w:val="0"/>
          <w:color w:val="000000"/>
          <w:sz w:val="32"/>
        </w:rPr>
        <w:t>操作要点上，建议优先选择应收账款确权清晰、付款方资信良好的核心客户订单开展有追索权保理，首期额度以企业上年度对该客户结算额的三至五成为宜，账期匹配真实回款周期并预留缓冲。同步要求企业提供近三年销售台账、增值税发票、出库单与对账单，建立"合同—发票—物流—回款"四流合一的验证机制，防范虚假贸易、重复融资与关联方虚构交易风险。对于出口业务形成的境外应收账款，应要求投保出口信用保险并办理赔款权益转让，将保单项下赔付作为第一还款来源的重要补充；对于向国家电网、南方电网及大型发电集团供货形成的应收账款，还须核查是否已在其他机构办理过质押或保理，避免权属瑕疵与多头融资。</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公司作为成武输变电集群链主，向上游电磁线、硅钢、绝缘材料供应商大批量采购，向下游137家中小微配套企业输出订单，具备构建产业链金融生态的天然条件。可依托"云电链"平台与龙头企业订单数据，设计"核心企业+配套企业"的信用穿透方案。</w:t>
      </w:r>
    </w:p>
    <w:p>
      <w:pPr>
        <w:spacing w:lineRule="exact" w:line="600" w:before="0" w:after="0"/>
        <w:ind w:firstLine="420"/>
        <w:jc w:val="both"/>
      </w:pPr>
      <w:r>
        <w:rPr>
          <w:rFonts w:ascii="仿宋_GB2312" w:hAnsi="仿宋_GB2312" w:eastAsia="仿宋_GB2312"/>
          <w:b w:val="0"/>
          <w:color w:val="000000"/>
          <w:sz w:val="32"/>
        </w:rPr>
        <w:t>建议采取"1+N"模式：向上围绕取向硅钢、铜铝导体、绝缘材料、电磁线等大宗原材料采购环节提供订单融资与预付款融资，帮助企业在价格低位集中锁价备货，平抑成本波动；向下围绕县域内137家中小微配套企业、经销商与工程服务商提供应收账款池融资与电子债权凭证流转服务，使核心企业信用向多级配套业户穿透。鉴于成武输变电集群配套企业数量众多、单户体量偏小，建议与成武县政府、"云电链"平台运营方及行业商协会合作，以园区白名单、集群整体授信方式降低单户尽调成本，提升业务的可复制性与规模效应。</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可服务于公司的设备升级与产能扩张需求。公司拥有绕线机、真空浇注设备、高压试验大厅等大量高价值设备，部分产线在扩产与智能化改造中存在明确的设备投资需求。通过融资租赁可在不占用银行授信额度的前提下完成设备升级，并将租金支出与设备产生的现金流相匹配；售后回租还可盘活存量设备、补充流动资金、优化负债结构。</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对绕线机、真空浇注设备、数控冲剪设备、箔式绕线机、干燥罐、试验变压器、高压试验大厅设备等标准化程度较高、二手交易相对活跃的设备，可采用直租或售后回租方式，租期建议三至五年，首付比例与保证金依企业资信分档设定；对高度定制化的专用工装、非标智能产线，则应审慎评估，必要时追加担保、提高首付比例或引入厂商回购承诺。在海信入主、企业扩产提速的背景下，售后回租还可用于盘活企业既有设备，在不新增产能的前提下补充流动资金、优化负债结构。</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业务的目标客户应聚焦其周边配套中小微业户。公司作为链主，掌握数以百计配套企业的订单量、结算记录与质量评价数据，这些数据是传统金融机构难以获取的软信息。可与公司合作构建"核心企业推荐+订单数据验证+回款账户封闭管理"的小额信贷模式，既服务集群普惠金融需求，也通过金融纽带增强公司对配套体系的掌控力。</w:t>
      </w:r>
    </w:p>
    <w:p>
      <w:pPr>
        <w:spacing w:lineRule="exact" w:line="600" w:before="0" w:after="0"/>
        <w:ind w:firstLine="420"/>
        <w:jc w:val="both"/>
      </w:pPr>
      <w:r>
        <w:rPr>
          <w:rFonts w:ascii="仿宋_GB2312" w:hAnsi="仿宋_GB2312" w:eastAsia="仿宋_GB2312"/>
          <w:b w:val="0"/>
          <w:color w:val="000000"/>
          <w:sz w:val="32"/>
        </w:rPr>
        <w:t>小额贷款可作为覆盖集群内中小配套业户的"毛细血管"型产品，重点解决旺季备货、临时性用工、订单赶工、设备小修等短频快资金需求。建议单户额度控制在五十万元至一千万元区间，期限以六个月至一年为主，采用"信用+保证+订单质押"的组合增信方式，并借助核心企业推荐名单、县域产业白名单、纳税与用电数据构建准入模型，实现批量获客与风险分层定价。</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构建"集团信用+主体信用+交易信用"三层防线。集团层面，充分利用海信控股带来的资信背书，但授信主体与还款来源须清晰独立，避免过度依赖集团兜底预期；主体层面，要求提供海信入主后经审计的财务会计报告、近三年纳税申报表、征信报告，并核查并购债权交割与清偿安排；交易层面，实行"四流合一"核验，出口业务比对海关报关单与结汇水单，国内业务比对增值税发票与物流单据，并对回款账户实施监管；同时建议将企业征信、被执行信息、涉诉新增情况作为刚性准入与贷后预警指标，对历史隐性债务与关联交易实施专项排查，实现风险的早识别、早处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达驰电气有限公司是山东菏泽成武（输变电装备）特色产业集群中最具代表性的链主企业与领航者。公司拥有七十余年变压器制造历史，注册资本超1亿元、总资产约26亿元、年产能8000万kVA，产品覆盖10kV至750kV全电压等级，专利约362项、参与标准约12项，在超高压变压器与绿色变压器方向技术领先；2025年实现产值13.8亿元、同比增长23.6%，2026年引入海信集团控股（65%股权，约8.57亿元），全面融入海信智慧能源产业版图。总体评价为：技术底蕴深厚、产能规模领先、集群带动力强、资本赋能后的成长空间广阔，属于集群内最优质的头部客户。</w:t>
      </w:r>
    </w:p>
    <w:p>
      <w:pPr>
        <w:spacing w:lineRule="exact" w:line="600" w:before="0" w:after="0"/>
        <w:ind w:firstLine="420"/>
        <w:jc w:val="both"/>
      </w:pPr>
      <w:r>
        <w:rPr>
          <w:rFonts w:ascii="仿宋_GB2312" w:hAnsi="仿宋_GB2312" w:eastAsia="仿宋_GB2312"/>
          <w:b w:val="0"/>
          <w:color w:val="000000"/>
          <w:sz w:val="32"/>
        </w:rPr>
        <w:t>同时必须清醒认识其局限：独立经审计财务信息尚未公开，无法进行定量的偿债能力与盈利质量评估；历史涉诉数量偏高（约137条），存在存量纠纷与隐性债务需出清；股权与债权结构因并购而趋于复杂，整合过渡存在不确定性；对电网集中招标与大宗原材料的依赖，使其面临价格竞争与成本波动的双重挤压。</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短期看（1至2年），公司的核心机遇在于海信赋能后的订单与渠道跃升。依托海信产业生态与全球化渠道，叠加自身技术底蕴，企业力争2026年营收20亿元、订单量增长20%，海外在手订单同比增长50%，并加速拓展AI数据中心供配电等新兴场景。</w:t>
      </w:r>
    </w:p>
    <w:p>
      <w:pPr>
        <w:spacing w:lineRule="exact" w:line="600" w:before="0" w:after="0"/>
        <w:ind w:firstLine="420"/>
        <w:jc w:val="both"/>
      </w:pPr>
      <w:r>
        <w:rPr>
          <w:rFonts w:ascii="仿宋_GB2312" w:hAnsi="仿宋_GB2312" w:eastAsia="仿宋_GB2312"/>
          <w:b w:val="0"/>
          <w:color w:val="000000"/>
          <w:sz w:val="32"/>
        </w:rPr>
        <w:t>中期看（3至5年），海信"电网设备+新能源+温控+综合能源服务"全链路布局将与公司形成深度协同，目标三年内营收突破50亿元。绿色植物油变压器、非晶合金变压器、智能在线监测变压器等新品，有望在新型电力系统建设中放量。</w:t>
      </w:r>
    </w:p>
    <w:p>
      <w:pPr>
        <w:spacing w:lineRule="exact" w:line="600" w:before="0" w:after="0"/>
        <w:ind w:firstLine="420"/>
        <w:jc w:val="both"/>
      </w:pPr>
      <w:r>
        <w:rPr>
          <w:rFonts w:ascii="仿宋_GB2312" w:hAnsi="仿宋_GB2312" w:eastAsia="仿宋_GB2312"/>
          <w:b w:val="0"/>
          <w:color w:val="000000"/>
          <w:sz w:val="32"/>
        </w:rPr>
        <w:t>长期看，全球电网低碳化改造、新能源大规模接入、AI数据中心用电爆发，将持续拉动高效节能与高压变压器需求。若公司能在超高压、绿色化、智能化方向持续突破，并借力海信平台实现全球化，将获得远高于行业平均的增长空间与不可替代的产业地位。</w:t>
      </w:r>
    </w:p>
    <w:p>
      <w:pPr>
        <w:spacing w:lineRule="exact" w:line="600" w:before="120" w:after="120"/>
        <w:ind w:firstLine="420"/>
        <w:jc w:val="left"/>
      </w:pPr>
      <w:r>
        <w:rPr>
          <w:rFonts w:ascii="楷体_GB2312" w:hAnsi="楷体_GB2312" w:eastAsia="楷体_GB2312"/>
          <w:b w:val="0"/>
          <w:color w:val="000000"/>
          <w:sz w:val="32"/>
        </w:rPr>
        <w:t>（三）对企业的发展建议</w:t>
      </w:r>
    </w:p>
    <w:p>
      <w:pPr>
        <w:spacing w:lineRule="exact" w:line="600" w:before="0" w:after="0"/>
        <w:ind w:firstLine="420"/>
        <w:jc w:val="both"/>
      </w:pPr>
      <w:r>
        <w:rPr>
          <w:rFonts w:ascii="仿宋_GB2312" w:hAnsi="仿宋_GB2312" w:eastAsia="仿宋_GB2312"/>
          <w:b w:val="0"/>
          <w:color w:val="000000"/>
          <w:sz w:val="32"/>
        </w:rPr>
        <w:t>第一，加快财务规范化与透明化建设。建议尽早引入专业会计师事务所开展年度审计，建立符合企业会计准则的核算体系，为银行授信、海信并表管理及未来资本运作奠定信息基础。财务透明度的提升本身即可显著降低融资成本。</w:t>
      </w:r>
    </w:p>
    <w:p>
      <w:pPr>
        <w:spacing w:lineRule="exact" w:line="600" w:before="0" w:after="0"/>
        <w:ind w:firstLine="420"/>
        <w:jc w:val="both"/>
      </w:pPr>
      <w:r>
        <w:rPr>
          <w:rFonts w:ascii="仿宋_GB2312" w:hAnsi="仿宋_GB2312" w:eastAsia="仿宋_GB2312"/>
          <w:b w:val="0"/>
          <w:color w:val="000000"/>
          <w:sz w:val="32"/>
        </w:rPr>
        <w:t>第二，稳妥推进并购整合。建议制定清晰的整合路线图，在文化融合、管理层衔接、信息系统对接、考核激励上平稳过渡，确保核心技术与人才队伍稳定，并尽快完成历史债权清偿与隐性债务出清。</w:t>
      </w:r>
    </w:p>
    <w:p>
      <w:pPr>
        <w:spacing w:lineRule="exact" w:line="600" w:before="0" w:after="0"/>
        <w:ind w:firstLine="420"/>
        <w:jc w:val="both"/>
      </w:pPr>
      <w:r>
        <w:rPr>
          <w:rFonts w:ascii="仿宋_GB2312" w:hAnsi="仿宋_GB2312" w:eastAsia="仿宋_GB2312"/>
          <w:b w:val="0"/>
          <w:color w:val="000000"/>
          <w:sz w:val="32"/>
        </w:rPr>
        <w:t>第三，持续加大绿色与智能变压器研发。建议围绕植物油变压器、非晶合金变压器、智能在线监测与数字孪生运维等方向，深化与西安交大等院校的联合攻关，将重点实验室升级为更高能级创新平台。</w:t>
      </w:r>
    </w:p>
    <w:p>
      <w:pPr>
        <w:spacing w:lineRule="exact" w:line="600" w:before="0" w:after="0"/>
        <w:ind w:firstLine="420"/>
        <w:jc w:val="both"/>
      </w:pPr>
      <w:r>
        <w:rPr>
          <w:rFonts w:ascii="仿宋_GB2312" w:hAnsi="仿宋_GB2312" w:eastAsia="仿宋_GB2312"/>
          <w:b w:val="0"/>
          <w:color w:val="000000"/>
          <w:sz w:val="32"/>
        </w:rPr>
        <w:t>第四，优化供应链与成本管控。建议借助海信集中采购与数字化管理能力，建立原材料价格锁定与库存优化机制，平滑大宗商品波动对盈利的冲击。</w:t>
      </w:r>
    </w:p>
    <w:p>
      <w:pPr>
        <w:spacing w:lineRule="exact" w:line="600" w:before="120" w:after="120"/>
        <w:ind w:firstLine="420"/>
        <w:jc w:val="left"/>
      </w:pPr>
      <w:r>
        <w:rPr>
          <w:rFonts w:ascii="楷体_GB2312" w:hAnsi="楷体_GB2312" w:eastAsia="楷体_GB2312"/>
          <w:b w:val="0"/>
          <w:color w:val="000000"/>
          <w:sz w:val="32"/>
        </w:rPr>
        <w:t>（四）对山东投资开展合作的建议</w:t>
      </w:r>
    </w:p>
    <w:p>
      <w:pPr>
        <w:spacing w:lineRule="exact" w:line="600" w:before="0" w:after="0"/>
        <w:ind w:firstLine="420"/>
        <w:jc w:val="both"/>
      </w:pPr>
      <w:r>
        <w:rPr>
          <w:rFonts w:ascii="仿宋_GB2312" w:hAnsi="仿宋_GB2312" w:eastAsia="仿宋_GB2312"/>
          <w:b w:val="0"/>
          <w:color w:val="000000"/>
          <w:sz w:val="32"/>
        </w:rPr>
        <w:t>第一，建议将公司列为成武输变电集群的首要战略客户，按照"集团协同、由点及面"的路径推进：首期以电网应收账款保理、设备融资租赁作为切入产品，单笔规模可适度放大至3000万元至1亿元区间，通过一至两个业务周期检验其履约能力与配合度，再逐步扩大合作规模、导入供应链金融平台业务。</w:t>
      </w:r>
    </w:p>
    <w:p>
      <w:pPr>
        <w:spacing w:lineRule="exact" w:line="600" w:before="0" w:after="0"/>
        <w:ind w:firstLine="420"/>
        <w:jc w:val="both"/>
      </w:pPr>
      <w:r>
        <w:rPr>
          <w:rFonts w:ascii="仿宋_GB2312" w:hAnsi="仿宋_GB2312" w:eastAsia="仿宋_GB2312"/>
          <w:b w:val="0"/>
          <w:color w:val="000000"/>
          <w:sz w:val="32"/>
        </w:rPr>
        <w:t>第二，建议充分发挥海信控股的信用协同红利，在风险可控前提下，探索与海信智慧能源板块的业务联动，但授信主体与还款来源须独立清晰，避免过度依赖集团兜底预期，守住风险底线。</w:t>
      </w:r>
    </w:p>
    <w:p>
      <w:pPr>
        <w:spacing w:lineRule="exact" w:line="600" w:before="0" w:after="0"/>
        <w:ind w:firstLine="420"/>
        <w:jc w:val="both"/>
      </w:pPr>
      <w:r>
        <w:rPr>
          <w:rFonts w:ascii="仿宋_GB2312" w:hAnsi="仿宋_GB2312" w:eastAsia="仿宋_GB2312"/>
          <w:b w:val="0"/>
          <w:color w:val="000000"/>
          <w:sz w:val="32"/>
        </w:rPr>
        <w:t>第三，建议以公司为核心企业，设计集群整体金融服务方案。成武输变电集群48家规上企业、137家中小微企业，是难得的普惠金融与产业链金融场景。通过与龙头企业共建订单数据与信用评价体系，可低成本批量获取优质小微客户，实现单户风险分散与整体规模效应的统一。</w:t>
      </w:r>
    </w:p>
    <w:p>
      <w:pPr>
        <w:spacing w:lineRule="exact" w:line="600" w:before="0" w:after="0"/>
        <w:ind w:firstLine="420"/>
        <w:jc w:val="both"/>
      </w:pPr>
      <w:r>
        <w:rPr>
          <w:rFonts w:ascii="仿宋_GB2312" w:hAnsi="仿宋_GB2312" w:eastAsia="仿宋_GB2312"/>
          <w:b w:val="0"/>
          <w:color w:val="000000"/>
          <w:sz w:val="32"/>
        </w:rPr>
        <w:t>第四，建议将风险防控关口前移。鉴于非上市企业财务信息不透明的普遍性，应建立以"税、电、关、诉、保"（纳税数据、用电数据、海关数据、涉诉数据、参保数据）为核心的替代性风险评估模型，并将企业征信、被执行信息、并购债权清偿进展纳入统一监控，实现对县域龙头制造企业的有效风险识别。</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工商登记信息：国家企业信用信息公示系统，天眼查、企查查、启信宝、Wind企业库公开披露的登记备案信息，含统一社会信用代码、成立日期、注册资本、实缴资本、登记机关、经营范围、参保人数、股权结构等字段。</w:t>
      </w:r>
    </w:p>
    <w:p>
      <w:pPr>
        <w:spacing w:lineRule="exact" w:line="600" w:before="0" w:after="0"/>
        <w:jc w:val="left"/>
      </w:pPr>
      <w:r>
        <w:rPr>
          <w:rFonts w:ascii="仿宋_GB2312" w:hAnsi="仿宋_GB2312" w:eastAsia="仿宋_GB2312"/>
          <w:b w:val="0"/>
          <w:color w:val="000000"/>
          <w:sz w:val="28"/>
        </w:rPr>
        <w:t>2．企业自主披露信息：山东达驰电气有限公司公开宣传资料、海信集团及海信网络能源官方信息披露、企业参与行业展会与媒体采访内容。</w:t>
      </w:r>
    </w:p>
    <w:p>
      <w:pPr>
        <w:spacing w:lineRule="exact" w:line="600" w:before="0" w:after="0"/>
        <w:jc w:val="left"/>
      </w:pPr>
      <w:r>
        <w:rPr>
          <w:rFonts w:ascii="仿宋_GB2312" w:hAnsi="仿宋_GB2312" w:eastAsia="仿宋_GB2312"/>
          <w:b w:val="0"/>
          <w:color w:val="000000"/>
          <w:sz w:val="28"/>
        </w:rPr>
        <w:t>3．国有资产交易与并购信息：山东产权交易中心（山东产权集团）关于达驰电气等三宗股权挂牌与成交的公开公告；经济观察报、界面新闻、证券时报等媒体对海信收购达驰电气的报道。</w:t>
      </w:r>
    </w:p>
    <w:p>
      <w:pPr>
        <w:spacing w:lineRule="exact" w:line="600" w:before="0" w:after="0"/>
        <w:jc w:val="left"/>
      </w:pPr>
      <w:r>
        <w:rPr>
          <w:rFonts w:ascii="仿宋_GB2312" w:hAnsi="仿宋_GB2312" w:eastAsia="仿宋_GB2312"/>
          <w:b w:val="0"/>
          <w:color w:val="000000"/>
          <w:sz w:val="28"/>
        </w:rPr>
        <w:t>4．政府公开信息：菏泽市人民政府、成武县人民政府、菏泽日报、菏泽广电网等官方渠道对成武输变电装备产业集群的公开报道，含集群规模、产值、"云电链"平台、企业技改投资等数据。</w:t>
      </w:r>
    </w:p>
    <w:p>
      <w:pPr>
        <w:spacing w:lineRule="exact" w:line="600" w:before="0" w:after="0"/>
        <w:jc w:val="left"/>
      </w:pPr>
      <w:r>
        <w:rPr>
          <w:rFonts w:ascii="仿宋_GB2312" w:hAnsi="仿宋_GB2312" w:eastAsia="仿宋_GB2312"/>
          <w:b w:val="0"/>
          <w:color w:val="000000"/>
          <w:sz w:val="28"/>
        </w:rPr>
        <w:t>5．权威媒体报道：菏泽日报《达驰电气融入海信集团能源版图加速转型》（2026年7月15日）、经济观察报《收购达驰电气等3家公司 海信补上智慧能源产业关键拼图》（2026年4月28日）、界面新闻（2026年4月29日）、菏泽广电《腾笼换鸟焕新》（2026年）等。</w:t>
      </w:r>
    </w:p>
    <w:p>
      <w:pPr>
        <w:spacing w:lineRule="exact" w:line="600" w:before="0" w:after="0"/>
        <w:jc w:val="left"/>
      </w:pPr>
      <w:r>
        <w:rPr>
          <w:rFonts w:ascii="仿宋_GB2312" w:hAnsi="仿宋_GB2312" w:eastAsia="仿宋_GB2312"/>
          <w:b w:val="0"/>
          <w:color w:val="000000"/>
          <w:sz w:val="28"/>
        </w:rPr>
        <w:t>6．本报告统计时点截至2026年8月。公司为非上市有限责任公司，现由青岛海信网络能源股份有限公司持股65%为控股股东，未公开披露经审计的定期财务报告。凡涉及营业收入、利润、资产负债等财务指标之处，除企业自主宣传口径及公开报道的"产值"外，均如实标注"财务数据未公开披露"，不作任何估算与推断；公开报道中的"产值"系工业总产值口径，与营业收入并非同一概念，引用时已予区分。各渠道对员工人数、产能、出口国别数量等指标的表述存在口径与时点差异，本报告已在正文中并列注明，实际合作前应以企业提供的审计报告、纳税申报表、征信报告等一手材料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