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山东菏泽成武（输变电装备）特色产业集群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山东达驰阿尔发电气有限公司企业分析报告</w:t>
      </w:r>
    </w:p>
    <w:p>
      <w:pPr>
        <w:spacing w:lineRule="exact" w:line="600" w:before="0" w:after="0"/>
        <w:jc w:val="left"/>
      </w:pPr>
      <w:r>
        <w:rPr>
          <w:rFonts w:ascii="仿宋_GB2312" w:hAnsi="仿宋_GB2312" w:eastAsia="仿宋_GB2312"/>
          <w:b w:val="0"/>
          <w:color w:val="000000"/>
          <w:sz w:val="28"/>
        </w:rPr>
        <w:t>（本报告数据来源于天眼查、水滴信用、爱企查、企业官网（alfadachi.com）等公开渠道，统计时点截至最新工商公示信息。该公司为非上市中外合资企业，无公开审计财务报表，相关财务数据已如实标注。）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达驰阿尔发电气有限公司成立于2004年11月10日，统一社会信用代码为913717007687134032，企业登记状态为存续（在营）。公司注册地址位于山东省菏泽市成武县工业开发区，登记机关为菏泽市市场监督管理局，营业期限自2004年11月10日至2044年11月9日。</w:t>
      </w:r>
    </w:p>
    <w:p>
      <w:pPr>
        <w:spacing w:lineRule="exact" w:line="600" w:before="0" w:after="0"/>
        <w:ind w:firstLine="420"/>
        <w:jc w:val="both"/>
      </w:pPr>
      <w:r>
        <w:rPr>
          <w:rFonts w:ascii="仿宋_GB2312" w:hAnsi="仿宋_GB2312" w:eastAsia="仿宋_GB2312"/>
          <w:b w:val="0"/>
          <w:color w:val="000000"/>
          <w:sz w:val="32"/>
        </w:rPr>
        <w:t>公司企业类型为有限责任公司（中外合资），法定代表人为朱德启（GIUDICE BORTOLO，外籍）。注册资本为3005万元人民币；公开工商信息显示实缴资本存在不同口径（天眼查/水滴信用披露实缴约1160万元，部分平台披露3005万元），公司属于增值税一般纳税人，人员规模100—499人，2023—2025年参保人数约137—140人。</w:t>
      </w:r>
    </w:p>
    <w:p>
      <w:pPr>
        <w:spacing w:lineRule="exact" w:line="600" w:before="0" w:after="0"/>
        <w:ind w:firstLine="420"/>
        <w:jc w:val="both"/>
      </w:pPr>
      <w:r>
        <w:rPr>
          <w:rFonts w:ascii="仿宋_GB2312" w:hAnsi="仿宋_GB2312" w:eastAsia="仿宋_GB2312"/>
          <w:b w:val="0"/>
          <w:color w:val="000000"/>
          <w:sz w:val="32"/>
        </w:rPr>
        <w:t>股权结构方面，公司由三方持股：意大利阿尔发斯坦公司（ALFA STANDARD）持股50%，为控股股东及实际控制人；自然人张桂芝持股45%；朱德启持股5%。公司历史沿革中曾由山东达驰电气有限公司与意大利ALFA STANDARD公司共同出资组建（企业官网披露双方总投资6500万元人民币），后经股权变更，山东达驰电气有限公司已退出股东序列，现由意方与境内自然人持股。英文名 Modern Dachi Alfaelectric Co., Ltd.，企业官网为 www.alfadachi.com。</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项目</w:t>
            </w:r>
          </w:p>
        </w:tc>
        <w:tc>
          <w:tcPr>
            <w:tcW w:type="dxa" w:w="6803"/>
          </w:tcPr>
          <w:p>
            <w:pPr>
              <w:spacing w:lineRule="exact" w:line="600"/>
              <w:jc w:val="center"/>
            </w:pPr>
            <w:r/>
            <w:r>
              <w:rPr>
                <w:rFonts w:ascii="黑体" w:hAnsi="黑体" w:eastAsia="黑体"/>
                <w:b/>
                <w:color w:val="000000"/>
                <w:sz w:val="32"/>
              </w:rPr>
              <w:t>内容</w:t>
            </w:r>
          </w:p>
        </w:tc>
      </w:tr>
      <w:tr>
        <w:tc>
          <w:tcPr>
            <w:tcW w:type="dxa" w:w="2551"/>
          </w:tcPr>
          <w:p>
            <w:pPr>
              <w:spacing w:lineRule="exact" w:line="600"/>
              <w:jc w:val="center"/>
            </w:pPr>
            <w:r/>
            <w:r>
              <w:rPr>
                <w:rFonts w:ascii="仿宋_GB2312" w:hAnsi="仿宋_GB2312" w:eastAsia="仿宋_GB2312"/>
                <w:b w:val="0"/>
                <w:color w:val="000000"/>
                <w:sz w:val="32"/>
              </w:rPr>
              <w:t>企业名称</w:t>
            </w:r>
          </w:p>
        </w:tc>
        <w:tc>
          <w:tcPr>
            <w:tcW w:type="dxa" w:w="6803"/>
          </w:tcPr>
          <w:p>
            <w:pPr>
              <w:spacing w:lineRule="exact" w:line="600"/>
              <w:jc w:val="center"/>
            </w:pPr>
            <w:r/>
            <w:r>
              <w:rPr>
                <w:rFonts w:ascii="仿宋_GB2312" w:hAnsi="仿宋_GB2312" w:eastAsia="仿宋_GB2312"/>
                <w:b w:val="0"/>
                <w:color w:val="000000"/>
                <w:sz w:val="32"/>
              </w:rPr>
              <w:t>山东达驰阿尔发电气有限公司</w:t>
            </w:r>
          </w:p>
        </w:tc>
      </w:tr>
      <w:tr>
        <w:tc>
          <w:tcPr>
            <w:tcW w:type="dxa" w:w="2551"/>
          </w:tcPr>
          <w:p>
            <w:pPr>
              <w:spacing w:lineRule="exact" w:line="600"/>
              <w:jc w:val="center"/>
            </w:pPr>
            <w:r/>
            <w:r>
              <w:rPr>
                <w:rFonts w:ascii="仿宋_GB2312" w:hAnsi="仿宋_GB2312" w:eastAsia="仿宋_GB2312"/>
                <w:b w:val="0"/>
                <w:color w:val="000000"/>
                <w:sz w:val="32"/>
              </w:rPr>
              <w:t>成立日期</w:t>
            </w:r>
          </w:p>
        </w:tc>
        <w:tc>
          <w:tcPr>
            <w:tcW w:type="dxa" w:w="6803"/>
          </w:tcPr>
          <w:p>
            <w:pPr>
              <w:spacing w:lineRule="exact" w:line="600"/>
              <w:jc w:val="center"/>
            </w:pPr>
            <w:r/>
            <w:r>
              <w:rPr>
                <w:rFonts w:ascii="仿宋_GB2312" w:hAnsi="仿宋_GB2312" w:eastAsia="仿宋_GB2312"/>
                <w:b w:val="0"/>
                <w:color w:val="000000"/>
                <w:sz w:val="32"/>
              </w:rPr>
              <w:t>2004-11-10</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803"/>
          </w:tcPr>
          <w:p>
            <w:pPr>
              <w:spacing w:lineRule="exact" w:line="600"/>
              <w:jc w:val="center"/>
            </w:pPr>
            <w:r/>
            <w:r>
              <w:rPr>
                <w:rFonts w:ascii="仿宋_GB2312" w:hAnsi="仿宋_GB2312" w:eastAsia="仿宋_GB2312"/>
                <w:b w:val="0"/>
                <w:color w:val="000000"/>
                <w:sz w:val="32"/>
              </w:rPr>
              <w:t>3005万元人民币</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803"/>
          </w:tcPr>
          <w:p>
            <w:pPr>
              <w:spacing w:lineRule="exact" w:line="600"/>
              <w:jc w:val="center"/>
            </w:pPr>
            <w:r/>
            <w:r>
              <w:rPr>
                <w:rFonts w:ascii="仿宋_GB2312" w:hAnsi="仿宋_GB2312" w:eastAsia="仿宋_GB2312"/>
                <w:b w:val="0"/>
                <w:color w:val="000000"/>
                <w:sz w:val="32"/>
              </w:rPr>
              <w:t>有限责任公司（中外合资）</w:t>
            </w:r>
          </w:p>
        </w:tc>
      </w:tr>
      <w:tr>
        <w:tc>
          <w:tcPr>
            <w:tcW w:type="dxa" w:w="2551"/>
          </w:tcPr>
          <w:p>
            <w:pPr>
              <w:spacing w:lineRule="exact" w:line="600"/>
              <w:jc w:val="center"/>
            </w:pPr>
            <w:r/>
            <w:r>
              <w:rPr>
                <w:rFonts w:ascii="仿宋_GB2312" w:hAnsi="仿宋_GB2312" w:eastAsia="仿宋_GB2312"/>
                <w:b w:val="0"/>
                <w:color w:val="000000"/>
                <w:sz w:val="32"/>
              </w:rPr>
              <w:t>法定代表人</w:t>
            </w:r>
          </w:p>
        </w:tc>
        <w:tc>
          <w:tcPr>
            <w:tcW w:type="dxa" w:w="6803"/>
          </w:tcPr>
          <w:p>
            <w:pPr>
              <w:spacing w:lineRule="exact" w:line="600"/>
              <w:jc w:val="center"/>
            </w:pPr>
            <w:r/>
            <w:r>
              <w:rPr>
                <w:rFonts w:ascii="仿宋_GB2312" w:hAnsi="仿宋_GB2312" w:eastAsia="仿宋_GB2312"/>
                <w:b w:val="0"/>
                <w:color w:val="000000"/>
                <w:sz w:val="32"/>
              </w:rPr>
              <w:t>朱德启（GIUDICE BORTOLO）</w:t>
            </w:r>
          </w:p>
        </w:tc>
      </w:tr>
      <w:tr>
        <w:tc>
          <w:tcPr>
            <w:tcW w:type="dxa" w:w="2551"/>
          </w:tcPr>
          <w:p>
            <w:pPr>
              <w:spacing w:lineRule="exact" w:line="600"/>
              <w:jc w:val="center"/>
            </w:pPr>
            <w:r/>
            <w:r>
              <w:rPr>
                <w:rFonts w:ascii="仿宋_GB2312" w:hAnsi="仿宋_GB2312" w:eastAsia="仿宋_GB2312"/>
                <w:b w:val="0"/>
                <w:color w:val="000000"/>
                <w:sz w:val="32"/>
              </w:rPr>
              <w:t>控股股东</w:t>
            </w:r>
          </w:p>
        </w:tc>
        <w:tc>
          <w:tcPr>
            <w:tcW w:type="dxa" w:w="6803"/>
          </w:tcPr>
          <w:p>
            <w:pPr>
              <w:spacing w:lineRule="exact" w:line="600"/>
              <w:jc w:val="center"/>
            </w:pPr>
            <w:r/>
            <w:r>
              <w:rPr>
                <w:rFonts w:ascii="仿宋_GB2312" w:hAnsi="仿宋_GB2312" w:eastAsia="仿宋_GB2312"/>
                <w:b w:val="0"/>
                <w:color w:val="000000"/>
                <w:sz w:val="32"/>
              </w:rPr>
              <w:t>意大利阿尔发斯坦公司（50%）</w:t>
            </w:r>
          </w:p>
        </w:tc>
      </w:tr>
      <w:tr>
        <w:tc>
          <w:tcPr>
            <w:tcW w:type="dxa" w:w="2551"/>
          </w:tcPr>
          <w:p>
            <w:pPr>
              <w:spacing w:lineRule="exact" w:line="600"/>
              <w:jc w:val="center"/>
            </w:pPr>
            <w:r/>
            <w:r>
              <w:rPr>
                <w:rFonts w:ascii="仿宋_GB2312" w:hAnsi="仿宋_GB2312" w:eastAsia="仿宋_GB2312"/>
                <w:b w:val="0"/>
                <w:color w:val="000000"/>
                <w:sz w:val="32"/>
              </w:rPr>
              <w:t>注册地址</w:t>
            </w:r>
          </w:p>
        </w:tc>
        <w:tc>
          <w:tcPr>
            <w:tcW w:type="dxa" w:w="6803"/>
          </w:tcPr>
          <w:p>
            <w:pPr>
              <w:spacing w:lineRule="exact" w:line="600"/>
              <w:jc w:val="center"/>
            </w:pPr>
            <w:r/>
            <w:r>
              <w:rPr>
                <w:rFonts w:ascii="仿宋_GB2312" w:hAnsi="仿宋_GB2312" w:eastAsia="仿宋_GB2312"/>
                <w:b w:val="0"/>
                <w:color w:val="000000"/>
                <w:sz w:val="32"/>
              </w:rPr>
              <w:t>山东省菏泽市成武县工业开发区</w:t>
            </w:r>
          </w:p>
        </w:tc>
      </w:tr>
      <w:tr>
        <w:tc>
          <w:tcPr>
            <w:tcW w:type="dxa" w:w="2551"/>
          </w:tcPr>
          <w:p>
            <w:pPr>
              <w:spacing w:lineRule="exact" w:line="600"/>
              <w:jc w:val="center"/>
            </w:pPr>
            <w:r/>
            <w:r>
              <w:rPr>
                <w:rFonts w:ascii="仿宋_GB2312" w:hAnsi="仿宋_GB2312" w:eastAsia="仿宋_GB2312"/>
                <w:b w:val="0"/>
                <w:color w:val="000000"/>
                <w:sz w:val="32"/>
              </w:rPr>
              <w:t>经营范围</w:t>
            </w:r>
          </w:p>
        </w:tc>
        <w:tc>
          <w:tcPr>
            <w:tcW w:type="dxa" w:w="6803"/>
          </w:tcPr>
          <w:p>
            <w:pPr>
              <w:spacing w:lineRule="exact" w:line="600"/>
              <w:jc w:val="center"/>
            </w:pPr>
            <w:r/>
            <w:r>
              <w:rPr>
                <w:rFonts w:ascii="仿宋_GB2312" w:hAnsi="仿宋_GB2312" w:eastAsia="仿宋_GB2312"/>
                <w:b w:val="0"/>
                <w:color w:val="000000"/>
                <w:sz w:val="32"/>
              </w:rPr>
              <w:t>封闭母线和36kV级及以下发电站用开关柜、电缆母线、35kV级及以下干式变压器、电抗器、智能开关柜、电力变压器、电工电气器材的生产、销售及配件维修</w:t>
            </w:r>
          </w:p>
        </w:tc>
      </w:tr>
    </w:tbl>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董事长（朱德启）、董事及财务负责人（张桂芝）、监事等治理岗位，管理层具有中意双方背景。公司对外投资方面，曾于2016年8月出资设立山东达驰阿尔发电力设备有限公司（持股100%，认缴6600万元），该企业目前已注销，体现公司前期围绕输变电设备领域的横向布局尝试。</w:t>
      </w:r>
    </w:p>
    <w:p>
      <w:pPr>
        <w:spacing w:lineRule="exact" w:line="600" w:before="0" w:after="0"/>
        <w:ind w:firstLine="420"/>
        <w:jc w:val="both"/>
      </w:pPr>
      <w:r>
        <w:rPr>
          <w:rFonts w:ascii="仿宋_GB2312" w:hAnsi="仿宋_GB2312" w:eastAsia="仿宋_GB2312"/>
          <w:b w:val="0"/>
          <w:color w:val="000000"/>
          <w:sz w:val="32"/>
        </w:rPr>
        <w:t>公司现有员工约180人（官网披露），其中本科以上学历50余人、专科以上学历90余人，技术与生产人员占比高，属于典型的装备制造企业人员结构。</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2004年，公司与意大利ALFA STANDARD公司合资设立，总投资6500万元，引进意方封闭母线与开关柜设计制造技术，定位中高端输变电配套设备。公司占地5万余平方米，产品由合资方ALFA STANDARD设计出图，并引进完整工艺流程，覆盖加工、检验、组装、喷漆和试验各环节。</w:t>
      </w:r>
    </w:p>
    <w:p>
      <w:pPr>
        <w:spacing w:lineRule="exact" w:line="600" w:before="0" w:after="0"/>
        <w:ind w:firstLine="420"/>
        <w:jc w:val="both"/>
      </w:pPr>
      <w:r>
        <w:rPr>
          <w:rFonts w:ascii="仿宋_GB2312" w:hAnsi="仿宋_GB2312" w:eastAsia="仿宋_GB2312"/>
          <w:b w:val="0"/>
          <w:color w:val="000000"/>
          <w:sz w:val="32"/>
        </w:rPr>
        <w:t>此后公司持续服务于国家电网、发电企业等客户，积累了封闭母线、智能开关柜等产品运行业绩（官网列有"部分产品运行证明"）。近年股权结构发生调整，外资与自然人成为主要持股方，经营延续成武县输变电装备产业链配套定位。</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中外合资的输变电配套设备专业制造商，是成武县输变电装备特色产业集群的配套骨干企业。主营业务为封闭母线、36kV及以下开关柜、电缆母线、35kV及以下干式变压器、电抗器、智能开关柜、电力变压器及电工电气器材的研发、生产、销售与维修，产品主要应用于发电厂、变电站及工矿企业配电系统。</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围绕输变电一次设备配套展开，核心产品包括共箱封闭母线、离相封闭母线、软连接、PT柜、微正压控制柜、母线连接结构件，以及36kV及以下开关柜、35kV及以下干式变压器等。收入结构以封闭母线与开关柜设备销售为主，配件维修为辅。</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封闭母线：共箱、离相封闭母线，用于发电机与主变压器之间大电流连接；开关柜：36kV级及以下发电站用开关柜、智能开关柜、PT柜；变压器与电抗器：35kV级及以下干式变压器、电抗器；配套服务：电缆母线、软连接、微正压控制柜及设备维修。产品技术源自意方，工艺标准相对完善。</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以电力系统为主，涵盖国家电网及下属单位、发电企业、大型工矿企业等，官网提及"国家电网积极倡导电能替代"及产品运行证明，显示其已进入电网与发电侧供应体系。具体客户名单及收入占比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原材料主要包括电工钢材、绝缘材料、铜铝导体、电气元器件等。公司作为成武输变电产业集群配套企业，可就近获取部分上游材料与协作加工资源；关键电气元器件部分依赖外购。供应商具体构成未公开。</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占地5万余平方米，具备封闭母线与开关柜完整生产线及试验能力。产品应用于36kV及以下电压等级，属于需取得相关生产资质与产品认证的电气设备制造领域，公司持有增值税一般纳税人资格及相应生产经营许可。</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公司采用面向电力系统与大型客户的直销与项目制销售模式，依托技术背景与运行业绩参与招投标。销售渠道以国内电力系统及工矿企业为主，外方股东背景亦有助于技术背书。</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中外合资企业，未公开披露年度营业收入、利润等财务数据。公开信息显示参保人数约140人，属中小型电气设备制造商。在成武输变电装备产业集群中，公司定位为封闭母线与开关柜配套骨干，与山东达驰电气等链主企业形成配套关系，细分市场占有率未公开。</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达驰阿尔发电气有限公司为非上市中外合资企业，未公开披露经审计的年度财务报表，亦未在公开市场披露近三年营业收入、净利润、毛利率、资产负债率、经营现金流等关键财务指标。以下仅列示可从工商公示渠道获得的资本与人员信息，不构成完整财务分析。</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803"/>
          </w:tcPr>
          <w:p>
            <w:pPr>
              <w:spacing w:lineRule="exact" w:line="600"/>
              <w:jc w:val="center"/>
            </w:pPr>
            <w:r/>
            <w:r>
              <w:rPr>
                <w:rFonts w:ascii="黑体" w:hAnsi="黑体" w:eastAsia="黑体"/>
                <w:b/>
                <w:color w:val="000000"/>
                <w:sz w:val="32"/>
              </w:rPr>
              <w:t>可获信息</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803"/>
          </w:tcPr>
          <w:p>
            <w:pPr>
              <w:spacing w:lineRule="exact" w:line="600"/>
              <w:jc w:val="center"/>
            </w:pPr>
            <w:r/>
            <w:r>
              <w:rPr>
                <w:rFonts w:ascii="仿宋_GB2312" w:hAnsi="仿宋_GB2312" w:eastAsia="仿宋_GB2312"/>
                <w:b w:val="0"/>
                <w:color w:val="000000"/>
                <w:sz w:val="32"/>
              </w:rPr>
              <w:t>3005万元人民币</w:t>
            </w:r>
          </w:p>
        </w:tc>
      </w:tr>
      <w:tr>
        <w:tc>
          <w:tcPr>
            <w:tcW w:type="dxa" w:w="2551"/>
          </w:tcPr>
          <w:p>
            <w:pPr>
              <w:spacing w:lineRule="exact" w:line="600"/>
              <w:jc w:val="center"/>
            </w:pPr>
            <w:r/>
            <w:r>
              <w:rPr>
                <w:rFonts w:ascii="仿宋_GB2312" w:hAnsi="仿宋_GB2312" w:eastAsia="仿宋_GB2312"/>
                <w:b w:val="0"/>
                <w:color w:val="000000"/>
                <w:sz w:val="32"/>
              </w:rPr>
              <w:t>实缴资本</w:t>
            </w:r>
          </w:p>
        </w:tc>
        <w:tc>
          <w:tcPr>
            <w:tcW w:type="dxa" w:w="6803"/>
          </w:tcPr>
          <w:p>
            <w:pPr>
              <w:spacing w:lineRule="exact" w:line="600"/>
              <w:jc w:val="center"/>
            </w:pPr>
            <w:r/>
            <w:r>
              <w:rPr>
                <w:rFonts w:ascii="仿宋_GB2312" w:hAnsi="仿宋_GB2312" w:eastAsia="仿宋_GB2312"/>
                <w:b w:val="0"/>
                <w:color w:val="000000"/>
                <w:sz w:val="32"/>
              </w:rPr>
              <w:t>约1160万元（不同平台口径略有差异）</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803"/>
          </w:tcPr>
          <w:p>
            <w:pPr>
              <w:spacing w:lineRule="exact" w:line="600"/>
              <w:jc w:val="center"/>
            </w:pPr>
            <w:r/>
            <w:r>
              <w:rPr>
                <w:rFonts w:ascii="仿宋_GB2312" w:hAnsi="仿宋_GB2312" w:eastAsia="仿宋_GB2312"/>
                <w:b w:val="0"/>
                <w:color w:val="000000"/>
                <w:sz w:val="32"/>
              </w:rPr>
              <w:t>约137—140人（2023—2025年）</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803"/>
          </w:tcPr>
          <w:p>
            <w:pPr>
              <w:spacing w:lineRule="exact" w:line="600"/>
              <w:jc w:val="center"/>
            </w:pPr>
            <w:r/>
            <w:r>
              <w:rPr>
                <w:rFonts w:ascii="仿宋_GB2312" w:hAnsi="仿宋_GB2312" w:eastAsia="仿宋_GB2312"/>
                <w:b w:val="0"/>
                <w:color w:val="000000"/>
                <w:sz w:val="32"/>
              </w:rPr>
              <w:t>中外合资，小微企业</w:t>
            </w:r>
          </w:p>
        </w:tc>
      </w:tr>
      <w:tr>
        <w:tc>
          <w:tcPr>
            <w:tcW w:type="dxa" w:w="2551"/>
          </w:tcPr>
          <w:p>
            <w:pPr>
              <w:spacing w:lineRule="exact" w:line="600"/>
              <w:jc w:val="center"/>
            </w:pPr>
            <w:r/>
            <w:r>
              <w:rPr>
                <w:rFonts w:ascii="仿宋_GB2312" w:hAnsi="仿宋_GB2312" w:eastAsia="仿宋_GB2312"/>
                <w:b w:val="0"/>
                <w:color w:val="000000"/>
                <w:sz w:val="32"/>
              </w:rPr>
              <w:t>审计财报</w:t>
            </w:r>
          </w:p>
        </w:tc>
        <w:tc>
          <w:tcPr>
            <w:tcW w:type="dxa" w:w="6803"/>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因缺乏公开财务数据，无法进行毛利率、净利率等盈利指标分析。公司产品定位于中高端输变电配套，技术源自意方，具备一定附加值；但企业规模较小，盈利规模有限。</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公开信息未披露资产明细。公司占地5万余平方米、拥有完整生产线，固定资产具有一定规模；对外投资企业（山东达驰阿尔发电力设备有限公司）已注销，需关注相关投资回收与或有影响。</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公司财务数据未公开披露，资产负债率、有息负债等偿债指标无法获取。作为中外合资小微企业，债务结构预计以经营性负债为主。</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经营现金流数据未公开。电气设备制造行业普遍存在应收账款与存货占用，需关注回款周期对现金流的影响。</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与同处成武输变电产业集群的链主企业山东达驰电气有限公司相比，本公司在规模、资本实力与品牌影响力上差距明显，定位为配套型中小企业；优势在于中外合资技术背景与封闭母线等细分产品积累。</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公司作为中外合资有限责任公司，设有董事长、董事、监事等基本治理岗位，法定代表人朱德启（外籍）任董事长，张桂芝任董事兼财务负责人。治理结构简单，符合中小企业特征。</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管理层由中意双方人员构成，董事长朱德启具外籍身份，财务负责人张桂芝持股45%，为重要自然人股东；另设监事等岗位。管理层相对稳定。</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公司建立了涵盖加工、检验、组装、喷漆、试验的工艺标准，产品由意方设计出图，质量管控体系相对规范。内控细节未公开披露。</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公司员工约180人，本科以上50余人、专科以上90余人，技术与生产人员为主。作为县域制造企业，人才吸引力受地域限制，需关注技能型与管理型人才储备。</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技术背景优势：中外合资身份使公司可引入意大利ALFA STANDARD的封闭母线与开关柜设计制造技术，产品工艺标准较高，具备一定技术壁垒。</w:t>
      </w:r>
    </w:p>
    <w:p>
      <w:pPr>
        <w:spacing w:lineRule="exact" w:line="600" w:before="0" w:after="0"/>
        <w:ind w:firstLine="420"/>
        <w:jc w:val="both"/>
      </w:pPr>
      <w:r>
        <w:rPr>
          <w:rFonts w:ascii="仿宋_GB2312" w:hAnsi="仿宋_GB2312" w:eastAsia="仿宋_GB2312"/>
          <w:b w:val="0"/>
          <w:color w:val="000000"/>
          <w:sz w:val="32"/>
        </w:rPr>
        <w:t>细分产品积累：在封闭母线（共箱、离相）等输变电配套细分领域有较长时间的项目运行业绩，客户黏性较强。</w:t>
      </w:r>
    </w:p>
    <w:p>
      <w:pPr>
        <w:spacing w:lineRule="exact" w:line="600" w:before="0" w:after="0"/>
        <w:ind w:firstLine="420"/>
        <w:jc w:val="both"/>
      </w:pPr>
      <w:r>
        <w:rPr>
          <w:rFonts w:ascii="仿宋_GB2312" w:hAnsi="仿宋_GB2312" w:eastAsia="仿宋_GB2312"/>
          <w:b w:val="0"/>
          <w:color w:val="000000"/>
          <w:sz w:val="32"/>
        </w:rPr>
        <w:t>产业集群配套：地处成武县输变电装备特色产业集群，可共享区域产业链、配套协作与政策资源。</w:t>
      </w:r>
    </w:p>
    <w:p>
      <w:pPr>
        <w:spacing w:lineRule="exact" w:line="600" w:before="0" w:after="0"/>
        <w:ind w:firstLine="420"/>
        <w:jc w:val="both"/>
      </w:pPr>
      <w:r>
        <w:rPr>
          <w:rFonts w:ascii="仿宋_GB2312" w:hAnsi="仿宋_GB2312" w:eastAsia="仿宋_GB2312"/>
          <w:b w:val="0"/>
          <w:color w:val="000000"/>
          <w:sz w:val="32"/>
        </w:rPr>
        <w:t>资质与质量体系：具备相应生产资质与工艺标准，产品可进入电网及发电侧供应体系。</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输变电设备行业受电网投资周期、新能源建设节奏影响明显；中低压设备市场竞争充分、价格竞争激烈，盈利空间承压。</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公司规模较小，客户集中度较高（以电力系统为主），单一大客户或项目波动将对经营产生较大影响；外方股东变更与治理磨合亦带来不确定性。</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财务数据未公开，透明度低；作为小微企业，抗周期能力弱，应收账款与存货占用可能挤压现金流。</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电气设备制造涉及产品安全与质量认证要求，若产品出现质量或安全事故将影响投标资格与声誉；历史上对外投资企业注销，需关注相关合规与债务遗留。</w:t>
      </w:r>
    </w:p>
    <w:p>
      <w:pPr>
        <w:spacing w:lineRule="exact" w:line="600" w:before="120" w:after="120"/>
        <w:ind w:firstLine="420"/>
        <w:jc w:val="left"/>
      </w:pPr>
      <w:r>
        <w:rPr>
          <w:rFonts w:ascii="楷体_GB2312" w:hAnsi="楷体_GB2312" w:eastAsia="楷体_GB2312"/>
          <w:b w:val="0"/>
          <w:color w:val="000000"/>
          <w:sz w:val="32"/>
        </w:rPr>
        <w:t>（五）应对措施</w:t>
      </w:r>
    </w:p>
    <w:p>
      <w:pPr>
        <w:spacing w:lineRule="exact" w:line="600" w:before="0" w:after="0"/>
        <w:ind w:firstLine="420"/>
        <w:jc w:val="both"/>
      </w:pPr>
      <w:r>
        <w:rPr>
          <w:rFonts w:ascii="仿宋_GB2312" w:hAnsi="仿宋_GB2312" w:eastAsia="仿宋_GB2312"/>
          <w:b w:val="0"/>
          <w:color w:val="000000"/>
          <w:sz w:val="32"/>
        </w:rPr>
        <w:t>公司可延续技术引进路线，提升产品可靠性与附加值；拓展客户与产品品类，降低单一客户依赖；强化质量与内控体系，稳健经营。</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保理业务：若公司面向电网及大型客户形成应收账款，可开展应收账款保理，盘活营运资金。</w:t>
      </w:r>
    </w:p>
    <w:p>
      <w:pPr>
        <w:spacing w:lineRule="exact" w:line="600" w:before="0" w:after="0"/>
        <w:ind w:firstLine="420"/>
        <w:jc w:val="both"/>
      </w:pPr>
      <w:r>
        <w:rPr>
          <w:rFonts w:ascii="仿宋_GB2312" w:hAnsi="仿宋_GB2312" w:eastAsia="仿宋_GB2312"/>
          <w:b w:val="0"/>
          <w:color w:val="000000"/>
          <w:sz w:val="32"/>
        </w:rPr>
        <w:t>供应链金融：依托成武输变电产业集群核心企业，为上下游配套中小企业提供订单融资、存货质押等供应链金融服务。</w:t>
      </w:r>
    </w:p>
    <w:p>
      <w:pPr>
        <w:spacing w:lineRule="exact" w:line="600" w:before="0" w:after="0"/>
        <w:ind w:firstLine="420"/>
        <w:jc w:val="both"/>
      </w:pPr>
      <w:r>
        <w:rPr>
          <w:rFonts w:ascii="仿宋_GB2312" w:hAnsi="仿宋_GB2312" w:eastAsia="仿宋_GB2312"/>
          <w:b w:val="0"/>
          <w:color w:val="000000"/>
          <w:sz w:val="32"/>
        </w:rPr>
        <w:t>融资租赁：公司存在设备更新与产能提升需求，可通过融资租赁获取生产设备，缓解资本开支压力。</w:t>
      </w:r>
    </w:p>
    <w:p>
      <w:pPr>
        <w:spacing w:lineRule="exact" w:line="600" w:before="0" w:after="0"/>
        <w:ind w:firstLine="420"/>
        <w:jc w:val="both"/>
      </w:pPr>
      <w:r>
        <w:rPr>
          <w:rFonts w:ascii="仿宋_GB2312" w:hAnsi="仿宋_GB2312" w:eastAsia="仿宋_GB2312"/>
          <w:b w:val="0"/>
          <w:color w:val="000000"/>
          <w:sz w:val="32"/>
        </w:rPr>
        <w:t>小额贷款：针对县域配套中小供应商的临时性周转需求，小贷业务可作为补充融资渠道。</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达驰阿尔发电气有限公司是成武输变电装备产业集群中具备中外合资技术背景的配套型中小企业，在封闭母线与中低压开关柜细分领域有一定积累，但整体规模较小、财务透明度低、抗风险能力有限。</w:t>
      </w:r>
    </w:p>
    <w:p>
      <w:pPr>
        <w:spacing w:lineRule="exact" w:line="600" w:before="0" w:after="0"/>
        <w:ind w:firstLine="420"/>
        <w:jc w:val="both"/>
      </w:pPr>
      <w:r>
        <w:rPr>
          <w:rFonts w:ascii="仿宋_GB2312" w:hAnsi="仿宋_GB2312" w:eastAsia="仿宋_GB2312"/>
          <w:b w:val="0"/>
          <w:color w:val="000000"/>
          <w:sz w:val="32"/>
        </w:rPr>
        <w:t>发展展望：随着新型电力系统与新能源并网建设推进，输变电配套设备需求有望保持；公司可借力集群协同与外资技术，提升产品竞争力。</w:t>
      </w:r>
    </w:p>
    <w:p>
      <w:pPr>
        <w:spacing w:lineRule="exact" w:line="600" w:before="0" w:after="0"/>
        <w:ind w:firstLine="420"/>
        <w:jc w:val="both"/>
      </w:pPr>
      <w:r>
        <w:rPr>
          <w:rFonts w:ascii="仿宋_GB2312" w:hAnsi="仿宋_GB2312" w:eastAsia="仿宋_GB2312"/>
          <w:b w:val="0"/>
          <w:color w:val="000000"/>
          <w:sz w:val="32"/>
        </w:rPr>
        <w:t>挑战：中低压设备竞争激烈、价格压力大；财务不透明削弱融资与信用扩张能力；人才与规模瓶颈突出。</w:t>
      </w:r>
    </w:p>
    <w:p>
      <w:pPr>
        <w:spacing w:lineRule="exact" w:line="600" w:before="0" w:after="0"/>
        <w:ind w:firstLine="420"/>
        <w:jc w:val="both"/>
      </w:pPr>
      <w:r>
        <w:rPr>
          <w:rFonts w:ascii="仿宋_GB2312" w:hAnsi="仿宋_GB2312" w:eastAsia="仿宋_GB2312"/>
          <w:b w:val="0"/>
          <w:color w:val="000000"/>
          <w:sz w:val="32"/>
        </w:rPr>
        <w:t>建议：一是健全财务披露与规范治理，提升信用水平；二是聚焦封闭母线等优势细分，做专做精；三是积极对接产业基金与银行授信，优化资本结构；四是融入成武输变电集群协同体系，争取链主企业配套订单。</w:t>
      </w:r>
    </w:p>
    <w:p>
      <w:pPr>
        <w:spacing w:lineRule="exact" w:line="600" w:before="0" w:after="0"/>
        <w:jc w:val="left"/>
      </w:pPr>
      <w:r>
        <w:rPr>
          <w:rFonts w:ascii="仿宋_GB2312" w:hAnsi="仿宋_GB2312" w:eastAsia="仿宋_GB2312"/>
          <w:b w:val="0"/>
          <w:color w:val="000000"/>
          <w:sz w:val="28"/>
        </w:rPr>
        <w:t>数据来源说明：本报告数据来自天眼查（tianyancha.com）、水滴信用（shuidi.cn）、爱企查（aiqicha.baidu.com）、企业官网（alfadachi.com）等公开渠道。因该公司为非上市中外合资企业，未公开披露审计财务报表，相关财务数据已如实标注为未公开。</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