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山东菏泽成武（输变电装备）特色产业集群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山东迅驰电气有限公司企业分析报告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及天眼查、企查查工商登记信息，菏泽日报、菏泽广电网、齐鲁网·闪电新闻等权威媒体公开报道，成武县人民政府及菏泽市官方公开信息，统计时点截至2026年8月。公司为非上市有限责任公司，未公开披露经审计的定期财务报告，本报告中凡涉及具体财务数据之处均如实标注"财务数据未公开披露"，不作任何估算与推断；公开报道中的"销售收入""产值"为经营口径，已与经审计营业收入区分引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（一）产业集群背景</w:t>
      </w:r>
    </w:p>
    <w:p>
      <w:pPr>
        <w:spacing w:lineRule="exact" w:line="600" w:before="0" w:after="0"/>
        <w:ind w:firstLine="420"/>
        <w:jc w:val="both"/>
      </w:pPr>
      <w:r>
        <w:rPr>
          <w:rFonts w:ascii="仿宋_GB2312" w:hAnsi="仿宋_GB2312" w:eastAsia="仿宋_GB2312"/>
          <w:b w:val="0"/>
          <w:color w:val="000000"/>
          <w:sz w:val="32"/>
        </w:rPr>
        <w:t>成武县隶属山东省菏泽市，输变电装备产业是当地的首位主导产业，起步早、基础厚、链条完整。经过数十年发展，成武以山东达驰电气为链主，逐步形成了以电力变压器、封闭母线、高低压开关柜、箱式变电站、电磁线及线路器材为核心的产业体系，产品广泛应用于国家电网、南方电网、高铁、新能源电站及卫星发射基地等国家重点工程。在达驰电气的牵引带动下，成武孵化出48家规模以上企业与137家中小微企业，构建起省级特色产业集群与"雁阵形"产业集群，成为鲁西南地区具有全国影响力的输变电装备产业集聚区。山东迅驰电气有限公司是这一集群中快速成长起来的骨干配套与整机制造企业。</w:t>
      </w:r>
    </w:p>
    <w:p>
      <w:pPr>
        <w:spacing w:lineRule="exact" w:line="600" w:before="0" w:after="0"/>
        <w:ind w:firstLine="420"/>
        <w:jc w:val="both"/>
      </w:pPr>
      <w:r>
        <w:rPr>
          <w:rFonts w:ascii="仿宋_GB2312" w:hAnsi="仿宋_GB2312" w:eastAsia="仿宋_GB2312"/>
          <w:b w:val="0"/>
          <w:color w:val="000000"/>
          <w:sz w:val="32"/>
        </w:rPr>
        <w:t>据成武县官方公开报道，成武输变电装备集群2024年规模以上企业营业收入达55亿元，先后获评山东省输变电优质产品生产基地、省级电工电气重点产业集群、山东省特色产业集群、山东省"十强"产业"雁阵形"集群、山东省首批产业链数字经济总部项目、山东省首批"产业大脑"建设试点，并依托省级工业互联网平台"云电链"实现产业链上下游资源整合与数字化协同。集群已形成"输变配储"一体四面产业链格局，为域内企业提供了完备的配套条件与政策支持环境。</w:t>
      </w:r>
    </w:p>
    <w:p>
      <w:pPr>
        <w:spacing w:lineRule="exact" w:line="600" w:before="0" w:after="0"/>
        <w:ind w:firstLine="420"/>
        <w:jc w:val="both"/>
      </w:pPr>
      <w:r>
        <w:rPr>
          <w:rFonts w:ascii="仿宋_GB2312" w:hAnsi="仿宋_GB2312" w:eastAsia="仿宋_GB2312"/>
          <w:b w:val="0"/>
          <w:color w:val="000000"/>
          <w:sz w:val="32"/>
        </w:rPr>
        <w:t>集群内企业近年来动作频频、能级跃升。链主企业达驰电气于2026年4月引入海信集团战略并购（65%股权，约8.57亿元），全面融入海信智慧能源版图；同为集群骨干的山东迅驰电气则走差异化成长路线——2024年初启动"智改数转"战略，新增投资4.2亿元上马全自动化高性能变压器试验设备生产线，已具备330KV高性能变压器量产能力，新产线投产后当年（2024年）实现销售收入1.3亿元。成武县坚持"工业立县"战略，2024年全县实现地区生产总值265亿元、增长约6.7%，为产业集群发展提供了坚实的县域经济支撑。</w:t>
      </w:r>
    </w:p>
    <w:p>
      <w:pPr>
        <w:spacing w:lineRule="exact" w:line="600" w:before="0" w:after="0"/>
        <w:ind w:firstLine="420"/>
        <w:jc w:val="both"/>
      </w:pPr>
      <w:r>
        <w:rPr>
          <w:rFonts w:ascii="仿宋_GB2312" w:hAnsi="仿宋_GB2312" w:eastAsia="仿宋_GB2312"/>
          <w:b w:val="0"/>
          <w:color w:val="000000"/>
          <w:sz w:val="32"/>
        </w:rPr>
        <w:t>从产业属性看，输变电装备属于电力装备制造业（电工电器）范畴，是支撑电网建设、能源转型与新型工业化的基础性产业。其上游为取向硅钢、铜铝导体、绝缘材料、电磁线、钢材等大宗原材料，中游为变压器、开关柜、封闭母线、电缆、电抗器等核心设备，下游为电网公司（国网、南网）、新能源（风、光、储）、工矿企业、基础设施与轨道交通。行业具有典型的"三高"特征：资质壁垒高（生产许可、型式试验、入网资质）、客户集中（电网与大型发电集团主导）、技术资金密集且重资产、订单制生产、回款周期较长。在"双碳"目标与AI数据中心用电爆发背景下，高效节能变压器、高电压设备等需求持续扩容，行业正加速向高端化、智能化、绿色化演进。</w:t>
      </w:r>
    </w:p>
    <w:p>
      <w:pPr>
        <w:spacing w:lineRule="exact" w:line="600" w:before="120" w:after="120"/>
        <w:ind w:firstLine="420"/>
        <w:jc w:val="left"/>
      </w:pPr>
      <w:r>
        <w:rPr>
          <w:rFonts w:ascii="楷体_GB2312" w:hAnsi="楷体_GB2312" w:eastAsia="楷体_GB2312"/>
          <w:b w:val="0"/>
          <w:color w:val="000000"/>
          <w:sz w:val="32"/>
        </w:rPr>
        <w:t>（二）企业沿革与工商登记信息</w:t>
      </w:r>
    </w:p>
    <w:p>
      <w:pPr>
        <w:spacing w:lineRule="exact" w:line="600" w:before="0" w:after="0"/>
        <w:ind w:firstLine="420"/>
        <w:jc w:val="both"/>
      </w:pPr>
      <w:r>
        <w:rPr>
          <w:rFonts w:ascii="仿宋_GB2312" w:hAnsi="仿宋_GB2312" w:eastAsia="仿宋_GB2312"/>
          <w:b w:val="0"/>
          <w:color w:val="000000"/>
          <w:sz w:val="32"/>
        </w:rPr>
        <w:t>山东迅驰电气有限公司是成武输变电装备产业集群中快速崛起的骨干整机制造企业，统一社会信用代码91371723MA3CQU5H8P（年代码2016，对应2016年前后设立）。公司注册地址位于山东省菏泽市成武县，专注于输变电设备的研发、制造与销售，是集群内少数具备高电压等级变压器研制能力的成长型企业之一。公司早期以变压器、箱式变电站、开关柜等产品起步，产品广泛应用于电网、高铁等国家重大工程；2024年初启动"智改数转"战略后，企业发展迈入高端化、智能化新阶段。</w:t>
      </w:r>
    </w:p>
    <w:tbl>
      <w:tblPr>
        <w:tblStyle w:val="TableGrid"/>
        <w:tblW w:type="auto" w:w="0"/>
        <w:jc w:val="center"/>
        <w:tblLook w:firstColumn="1" w:firstRow="1" w:lastColumn="0" w:lastRow="0" w:noHBand="0" w:noVBand="1" w:val="04A0"/>
      </w:tblPr>
      <w:tblGrid>
        <w:gridCol w:w="4422"/>
        <w:gridCol w:w="4422"/>
      </w:tblGrid>
      <w:tr>
        <w:tc>
          <w:tcPr>
            <w:tcW w:type="dxa" w:w="4422"/>
          </w:tcPr>
          <w:p>
            <w:pPr>
              <w:spacing w:lineRule="exact" w:line="600"/>
              <w:jc w:val="center"/>
            </w:pPr>
            <w:r/>
            <w:r>
              <w:rPr>
                <w:rFonts w:ascii="黑体" w:hAnsi="黑体" w:eastAsia="黑体"/>
                <w:b/>
                <w:color w:val="000000"/>
                <w:sz w:val="32"/>
              </w:rPr>
              <w:t>登记项目</w:t>
            </w:r>
          </w:p>
        </w:tc>
        <w:tc>
          <w:tcPr>
            <w:tcW w:type="dxa" w:w="4422"/>
          </w:tcPr>
          <w:p>
            <w:pPr>
              <w:spacing w:lineRule="exact" w:line="600"/>
              <w:jc w:val="center"/>
            </w:pPr>
            <w:r/>
            <w:r>
              <w:rPr>
                <w:rFonts w:ascii="黑体" w:hAnsi="黑体" w:eastAsia="黑体"/>
                <w:b/>
                <w:color w:val="000000"/>
                <w:sz w:val="32"/>
              </w:rPr>
              <w:t>登记内容</w:t>
            </w:r>
          </w:p>
        </w:tc>
      </w:tr>
      <w:tr>
        <w:tc>
          <w:tcPr>
            <w:tcW w:type="dxa" w:w="4422"/>
          </w:tcPr>
          <w:p>
            <w:pPr>
              <w:spacing w:lineRule="exact" w:line="600"/>
              <w:jc w:val="center"/>
            </w:pPr>
            <w:r/>
            <w:r>
              <w:rPr>
                <w:rFonts w:ascii="仿宋_GB2312" w:hAnsi="仿宋_GB2312" w:eastAsia="仿宋_GB2312"/>
                <w:b w:val="0"/>
                <w:color w:val="000000"/>
                <w:sz w:val="32"/>
              </w:rPr>
              <w:t>企业名称</w:t>
            </w:r>
          </w:p>
        </w:tc>
        <w:tc>
          <w:tcPr>
            <w:tcW w:type="dxa" w:w="4422"/>
          </w:tcPr>
          <w:p>
            <w:pPr>
              <w:spacing w:lineRule="exact" w:line="600"/>
              <w:jc w:val="center"/>
            </w:pPr>
            <w:r/>
            <w:r>
              <w:rPr>
                <w:rFonts w:ascii="仿宋_GB2312" w:hAnsi="仿宋_GB2312" w:eastAsia="仿宋_GB2312"/>
                <w:b w:val="0"/>
                <w:color w:val="000000"/>
                <w:sz w:val="32"/>
              </w:rPr>
              <w:t>山东迅驰电气有限公司</w:t>
            </w:r>
          </w:p>
        </w:tc>
      </w:tr>
      <w:tr>
        <w:tc>
          <w:tcPr>
            <w:tcW w:type="dxa" w:w="4422"/>
          </w:tcPr>
          <w:p>
            <w:pPr>
              <w:spacing w:lineRule="exact" w:line="600"/>
              <w:jc w:val="center"/>
            </w:pPr>
            <w:r/>
            <w:r>
              <w:rPr>
                <w:rFonts w:ascii="仿宋_GB2312" w:hAnsi="仿宋_GB2312" w:eastAsia="仿宋_GB2312"/>
                <w:b w:val="0"/>
                <w:color w:val="000000"/>
                <w:sz w:val="32"/>
              </w:rPr>
              <w:t>统一社会信用代码</w:t>
            </w:r>
          </w:p>
        </w:tc>
        <w:tc>
          <w:tcPr>
            <w:tcW w:type="dxa" w:w="4422"/>
          </w:tcPr>
          <w:p>
            <w:pPr>
              <w:spacing w:lineRule="exact" w:line="600"/>
              <w:jc w:val="center"/>
            </w:pPr>
            <w:r/>
            <w:r>
              <w:rPr>
                <w:rFonts w:ascii="仿宋_GB2312" w:hAnsi="仿宋_GB2312" w:eastAsia="仿宋_GB2312"/>
                <w:b w:val="0"/>
                <w:color w:val="000000"/>
                <w:sz w:val="32"/>
              </w:rPr>
              <w:t>91371723MA3CQU5H8P</w:t>
            </w:r>
          </w:p>
        </w:tc>
      </w:tr>
      <w:tr>
        <w:tc>
          <w:tcPr>
            <w:tcW w:type="dxa" w:w="4422"/>
          </w:tcPr>
          <w:p>
            <w:pPr>
              <w:spacing w:lineRule="exact" w:line="600"/>
              <w:jc w:val="center"/>
            </w:pPr>
            <w:r/>
            <w:r>
              <w:rPr>
                <w:rFonts w:ascii="仿宋_GB2312" w:hAnsi="仿宋_GB2312" w:eastAsia="仿宋_GB2312"/>
                <w:b w:val="0"/>
                <w:color w:val="000000"/>
                <w:sz w:val="32"/>
              </w:rPr>
              <w:t>企业类型</w:t>
            </w:r>
          </w:p>
        </w:tc>
        <w:tc>
          <w:tcPr>
            <w:tcW w:type="dxa" w:w="4422"/>
          </w:tcPr>
          <w:p>
            <w:pPr>
              <w:spacing w:lineRule="exact" w:line="600"/>
              <w:jc w:val="center"/>
            </w:pPr>
            <w:r/>
            <w:r>
              <w:rPr>
                <w:rFonts w:ascii="仿宋_GB2312" w:hAnsi="仿宋_GB2312" w:eastAsia="仿宋_GB2312"/>
                <w:b w:val="0"/>
                <w:color w:val="000000"/>
                <w:sz w:val="32"/>
              </w:rPr>
              <w:t>有限责任公司（自然人投资或控股）</w:t>
            </w:r>
          </w:p>
        </w:tc>
      </w:tr>
      <w:tr>
        <w:tc>
          <w:tcPr>
            <w:tcW w:type="dxa" w:w="4422"/>
          </w:tcPr>
          <w:p>
            <w:pPr>
              <w:spacing w:lineRule="exact" w:line="600"/>
              <w:jc w:val="center"/>
            </w:pPr>
            <w:r/>
            <w:r>
              <w:rPr>
                <w:rFonts w:ascii="仿宋_GB2312" w:hAnsi="仿宋_GB2312" w:eastAsia="仿宋_GB2312"/>
                <w:b w:val="0"/>
                <w:color w:val="000000"/>
                <w:sz w:val="32"/>
              </w:rPr>
              <w:t>成立日期</w:t>
            </w:r>
          </w:p>
        </w:tc>
        <w:tc>
          <w:tcPr>
            <w:tcW w:type="dxa" w:w="4422"/>
          </w:tcPr>
          <w:p>
            <w:pPr>
              <w:spacing w:lineRule="exact" w:line="600"/>
              <w:jc w:val="center"/>
            </w:pPr>
            <w:r/>
            <w:r>
              <w:rPr>
                <w:rFonts w:ascii="仿宋_GB2312" w:hAnsi="仿宋_GB2312" w:eastAsia="仿宋_GB2312"/>
                <w:b w:val="0"/>
                <w:color w:val="000000"/>
                <w:sz w:val="32"/>
              </w:rPr>
              <w:t>2016年前后（统一社会信用代码年代码为2016）</w:t>
            </w:r>
          </w:p>
        </w:tc>
      </w:tr>
      <w:tr>
        <w:tc>
          <w:tcPr>
            <w:tcW w:type="dxa" w:w="4422"/>
          </w:tcPr>
          <w:p>
            <w:pPr>
              <w:spacing w:lineRule="exact" w:line="600"/>
              <w:jc w:val="center"/>
            </w:pPr>
            <w:r/>
            <w:r>
              <w:rPr>
                <w:rFonts w:ascii="仿宋_GB2312" w:hAnsi="仿宋_GB2312" w:eastAsia="仿宋_GB2312"/>
                <w:b w:val="0"/>
                <w:color w:val="000000"/>
                <w:sz w:val="32"/>
              </w:rPr>
              <w:t>登记状态</w:t>
            </w:r>
          </w:p>
        </w:tc>
        <w:tc>
          <w:tcPr>
            <w:tcW w:type="dxa" w:w="4422"/>
          </w:tcPr>
          <w:p>
            <w:pPr>
              <w:spacing w:lineRule="exact" w:line="600"/>
              <w:jc w:val="center"/>
            </w:pPr>
            <w:r/>
            <w:r>
              <w:rPr>
                <w:rFonts w:ascii="仿宋_GB2312" w:hAnsi="仿宋_GB2312" w:eastAsia="仿宋_GB2312"/>
                <w:b w:val="0"/>
                <w:color w:val="000000"/>
                <w:sz w:val="32"/>
              </w:rPr>
              <w:t>存续（在营、开业、在册）</w:t>
            </w:r>
          </w:p>
        </w:tc>
      </w:tr>
      <w:tr>
        <w:tc>
          <w:tcPr>
            <w:tcW w:type="dxa" w:w="4422"/>
          </w:tcPr>
          <w:p>
            <w:pPr>
              <w:spacing w:lineRule="exact" w:line="600"/>
              <w:jc w:val="center"/>
            </w:pPr>
            <w:r/>
            <w:r>
              <w:rPr>
                <w:rFonts w:ascii="仿宋_GB2312" w:hAnsi="仿宋_GB2312" w:eastAsia="仿宋_GB2312"/>
                <w:b w:val="0"/>
                <w:color w:val="000000"/>
                <w:sz w:val="32"/>
              </w:rPr>
              <w:t>注册资本</w:t>
            </w:r>
          </w:p>
        </w:tc>
        <w:tc>
          <w:tcPr>
            <w:tcW w:type="dxa" w:w="4422"/>
          </w:tcPr>
          <w:p>
            <w:pPr>
              <w:spacing w:lineRule="exact" w:line="600"/>
              <w:jc w:val="center"/>
            </w:pPr>
            <w:r/>
            <w:r>
              <w:rPr>
                <w:rFonts w:ascii="仿宋_GB2312" w:hAnsi="仿宋_GB2312" w:eastAsia="仿宋_GB2312"/>
                <w:b w:val="0"/>
                <w:color w:val="000000"/>
                <w:sz w:val="32"/>
              </w:rPr>
              <w:t>财务数据未公开披露（以公示系统为准）</w:t>
            </w:r>
          </w:p>
        </w:tc>
      </w:tr>
      <w:tr>
        <w:tc>
          <w:tcPr>
            <w:tcW w:type="dxa" w:w="4422"/>
          </w:tcPr>
          <w:p>
            <w:pPr>
              <w:spacing w:lineRule="exact" w:line="600"/>
              <w:jc w:val="center"/>
            </w:pPr>
            <w:r/>
            <w:r>
              <w:rPr>
                <w:rFonts w:ascii="仿宋_GB2312" w:hAnsi="仿宋_GB2312" w:eastAsia="仿宋_GB2312"/>
                <w:b w:val="0"/>
                <w:color w:val="000000"/>
                <w:sz w:val="32"/>
              </w:rPr>
              <w:t>法定代表人</w:t>
            </w:r>
          </w:p>
        </w:tc>
        <w:tc>
          <w:tcPr>
            <w:tcW w:type="dxa" w:w="4422"/>
          </w:tcPr>
          <w:p>
            <w:pPr>
              <w:spacing w:lineRule="exact" w:line="600"/>
              <w:jc w:val="center"/>
            </w:pPr>
            <w:r/>
            <w:r>
              <w:rPr>
                <w:rFonts w:ascii="仿宋_GB2312" w:hAnsi="仿宋_GB2312" w:eastAsia="仿宋_GB2312"/>
                <w:b w:val="0"/>
                <w:color w:val="000000"/>
                <w:sz w:val="32"/>
              </w:rPr>
              <w:t>李先亮（以国家企业信用信息公示系统最新核准为准）</w:t>
            </w:r>
          </w:p>
        </w:tc>
      </w:tr>
      <w:tr>
        <w:tc>
          <w:tcPr>
            <w:tcW w:type="dxa" w:w="4422"/>
          </w:tcPr>
          <w:p>
            <w:pPr>
              <w:spacing w:lineRule="exact" w:line="600"/>
              <w:jc w:val="center"/>
            </w:pPr>
            <w:r/>
            <w:r>
              <w:rPr>
                <w:rFonts w:ascii="仿宋_GB2312" w:hAnsi="仿宋_GB2312" w:eastAsia="仿宋_GB2312"/>
                <w:b w:val="0"/>
                <w:color w:val="000000"/>
                <w:sz w:val="32"/>
              </w:rPr>
              <w:t>登记机关</w:t>
            </w:r>
          </w:p>
        </w:tc>
        <w:tc>
          <w:tcPr>
            <w:tcW w:type="dxa" w:w="4422"/>
          </w:tcPr>
          <w:p>
            <w:pPr>
              <w:spacing w:lineRule="exact" w:line="600"/>
              <w:jc w:val="center"/>
            </w:pPr>
            <w:r/>
            <w:r>
              <w:rPr>
                <w:rFonts w:ascii="仿宋_GB2312" w:hAnsi="仿宋_GB2312" w:eastAsia="仿宋_GB2312"/>
                <w:b w:val="0"/>
                <w:color w:val="000000"/>
                <w:sz w:val="32"/>
              </w:rPr>
              <w:t>菏泽市成武县市场监督管理局</w:t>
            </w:r>
          </w:p>
        </w:tc>
      </w:tr>
      <w:tr>
        <w:tc>
          <w:tcPr>
            <w:tcW w:type="dxa" w:w="4422"/>
          </w:tcPr>
          <w:p>
            <w:pPr>
              <w:spacing w:lineRule="exact" w:line="600"/>
              <w:jc w:val="center"/>
            </w:pPr>
            <w:r/>
            <w:r>
              <w:rPr>
                <w:rFonts w:ascii="仿宋_GB2312" w:hAnsi="仿宋_GB2312" w:eastAsia="仿宋_GB2312"/>
                <w:b w:val="0"/>
                <w:color w:val="000000"/>
                <w:sz w:val="32"/>
              </w:rPr>
              <w:t>注册地址</w:t>
            </w:r>
          </w:p>
        </w:tc>
        <w:tc>
          <w:tcPr>
            <w:tcW w:type="dxa" w:w="4422"/>
          </w:tcPr>
          <w:p>
            <w:pPr>
              <w:spacing w:lineRule="exact" w:line="600"/>
              <w:jc w:val="center"/>
            </w:pPr>
            <w:r/>
            <w:r>
              <w:rPr>
                <w:rFonts w:ascii="仿宋_GB2312" w:hAnsi="仿宋_GB2312" w:eastAsia="仿宋_GB2312"/>
                <w:b w:val="0"/>
                <w:color w:val="000000"/>
                <w:sz w:val="32"/>
              </w:rPr>
              <w:t>山东省菏泽市成武县</w:t>
            </w:r>
          </w:p>
        </w:tc>
      </w:tr>
      <w:tr>
        <w:tc>
          <w:tcPr>
            <w:tcW w:type="dxa" w:w="4422"/>
          </w:tcPr>
          <w:p>
            <w:pPr>
              <w:spacing w:lineRule="exact" w:line="600"/>
              <w:jc w:val="center"/>
            </w:pPr>
            <w:r/>
            <w:r>
              <w:rPr>
                <w:rFonts w:ascii="仿宋_GB2312" w:hAnsi="仿宋_GB2312" w:eastAsia="仿宋_GB2312"/>
                <w:b w:val="0"/>
                <w:color w:val="000000"/>
                <w:sz w:val="32"/>
              </w:rPr>
              <w:t>国民经济行业分类</w:t>
            </w:r>
          </w:p>
        </w:tc>
        <w:tc>
          <w:tcPr>
            <w:tcW w:type="dxa" w:w="4422"/>
          </w:tcPr>
          <w:p>
            <w:pPr>
              <w:spacing w:lineRule="exact" w:line="600"/>
              <w:jc w:val="center"/>
            </w:pPr>
            <w:r/>
            <w:r>
              <w:rPr>
                <w:rFonts w:ascii="仿宋_GB2312" w:hAnsi="仿宋_GB2312" w:eastAsia="仿宋_GB2312"/>
                <w:b w:val="0"/>
                <w:color w:val="000000"/>
                <w:sz w:val="32"/>
              </w:rPr>
              <w:t>电气机械和器材制造业＞输配电及控制设备制造</w:t>
            </w:r>
          </w:p>
        </w:tc>
      </w:tr>
      <w:tr>
        <w:tc>
          <w:tcPr>
            <w:tcW w:type="dxa" w:w="4422"/>
          </w:tcPr>
          <w:p>
            <w:pPr>
              <w:spacing w:lineRule="exact" w:line="600"/>
              <w:jc w:val="center"/>
            </w:pPr>
            <w:r/>
            <w:r>
              <w:rPr>
                <w:rFonts w:ascii="仿宋_GB2312" w:hAnsi="仿宋_GB2312" w:eastAsia="仿宋_GB2312"/>
                <w:b w:val="0"/>
                <w:color w:val="000000"/>
                <w:sz w:val="32"/>
              </w:rPr>
              <w:t>企业资质</w:t>
            </w:r>
          </w:p>
        </w:tc>
        <w:tc>
          <w:tcPr>
            <w:tcW w:type="dxa" w:w="4422"/>
          </w:tcPr>
          <w:p>
            <w:pPr>
              <w:spacing w:lineRule="exact" w:line="600"/>
              <w:jc w:val="center"/>
            </w:pPr>
            <w:r/>
            <w:r>
              <w:rPr>
                <w:rFonts w:ascii="仿宋_GB2312" w:hAnsi="仿宋_GB2312" w:eastAsia="仿宋_GB2312"/>
                <w:b w:val="0"/>
                <w:color w:val="000000"/>
                <w:sz w:val="32"/>
              </w:rPr>
              <w:t>国家级高新技术企业、省级专精特新企业、科技型中小企业</w:t>
            </w:r>
          </w:p>
        </w:tc>
      </w:tr>
    </w:tbl>
    <w:p>
      <w:pPr>
        <w:spacing w:lineRule="exact" w:line="600" w:before="0" w:after="0"/>
        <w:ind w:firstLine="420"/>
        <w:jc w:val="both"/>
      </w:pPr>
      <w:r>
        <w:rPr>
          <w:rFonts w:ascii="仿宋_GB2312" w:hAnsi="仿宋_GB2312" w:eastAsia="仿宋_GB2312"/>
          <w:b w:val="0"/>
          <w:color w:val="000000"/>
          <w:sz w:val="32"/>
        </w:rPr>
        <w:t>公司经营范围涵盖变压器、箱式变电站、高低压开关柜、输变电线路器材等输变电设备的生产、销售与技术服务，并可承接相关工程的配套与运维。2024年新增投资4.2亿元上马的全自动化高性能变压器试验设备生产线，使其具备330KV高性能变压器的量产能力，技术能级实现跨越。</w:t>
      </w:r>
    </w:p>
    <w:p>
      <w:pPr>
        <w:spacing w:lineRule="exact" w:line="600" w:before="0" w:after="0"/>
        <w:ind w:firstLine="420"/>
        <w:jc w:val="both"/>
      </w:pPr>
      <w:r>
        <w:rPr>
          <w:rFonts w:ascii="仿宋_GB2312" w:hAnsi="仿宋_GB2312" w:eastAsia="仿宋_GB2312"/>
          <w:b w:val="0"/>
          <w:color w:val="000000"/>
          <w:sz w:val="32"/>
        </w:rPr>
        <w:t>需要提示的是，公开渠道对公司法定代表人及主要管理者的记载存在口径差异：工商登记显示法定代表人为李先亮；企业对外报道中，总经理为鲁志阳、副总经理为王中昀。正式业务合作前，应以国家企业信用信息公示系统的最新核准信息、营业执照原件及公司章程为准，并同步核验法定代表人身份证件、股东会与董事会决议，确认签约主体的适格性。</w:t>
      </w:r>
    </w:p>
    <w:p>
      <w:pPr>
        <w:spacing w:lineRule="exact" w:line="600" w:before="120" w:after="120"/>
        <w:ind w:firstLine="420"/>
        <w:jc w:val="left"/>
      </w:pPr>
      <w:r>
        <w:rPr>
          <w:rFonts w:ascii="楷体_GB2312" w:hAnsi="楷体_GB2312" w:eastAsia="楷体_GB2312"/>
          <w:b w:val="0"/>
          <w:color w:val="000000"/>
          <w:sz w:val="32"/>
        </w:rPr>
        <w:t>（三）股权结构与实际控制人</w:t>
      </w:r>
    </w:p>
    <w:p>
      <w:pPr>
        <w:spacing w:lineRule="exact" w:line="600" w:before="0" w:after="0"/>
        <w:ind w:firstLine="420"/>
        <w:jc w:val="both"/>
      </w:pPr>
      <w:r>
        <w:rPr>
          <w:rFonts w:ascii="仿宋_GB2312" w:hAnsi="仿宋_GB2312" w:eastAsia="仿宋_GB2312"/>
          <w:b w:val="0"/>
          <w:color w:val="000000"/>
          <w:sz w:val="32"/>
        </w:rPr>
        <w:t>据公开工商信息，公司登记类型为有限责任公司（自然人投资或控股），法定代表人显示为李先亮，反映其由本地创业者发起设立、民营控股的股权结构。这一结构与达驰电气（海信控股）、达驰阿尔发（中外合资）形成鲜明对比，是成武输变电集群中典型的本土民营成长型企业。</w:t>
      </w:r>
    </w:p>
    <w:p>
      <w:pPr>
        <w:spacing w:lineRule="exact" w:line="600" w:before="0" w:after="0"/>
        <w:ind w:firstLine="420"/>
        <w:jc w:val="both"/>
      </w:pPr>
      <w:r>
        <w:rPr>
          <w:rFonts w:ascii="仿宋_GB2312" w:hAnsi="仿宋_GB2312" w:eastAsia="仿宋_GB2312"/>
          <w:b w:val="0"/>
          <w:color w:val="000000"/>
          <w:sz w:val="32"/>
        </w:rPr>
        <w:t>民营控股结构决策链条短、市场反应快，但融资主要依赖股东投入与银行信贷，缺乏股权融资、债券融资等直接通道。在海信并购达驰、集群整体能级跃升的背景下，迅驰电气作为独立民营企业，其资本补充与信用背书更多依赖自身经营积累与金融机构授信，这既构成挑战，也意味着与山东投资等产业金融资本合作的较大空间。建议在尽调中核查实际控制人及其一致行动关系、对外投资与对外担保情况，并视情况要求实际控制人提供连带责任保证，强化信用绑定。</w:t>
      </w:r>
    </w:p>
    <w:p>
      <w:pPr>
        <w:spacing w:lineRule="exact" w:line="600" w:before="120" w:after="120"/>
        <w:ind w:firstLine="420"/>
        <w:jc w:val="left"/>
      </w:pPr>
      <w:r>
        <w:rPr>
          <w:rFonts w:ascii="楷体_GB2312" w:hAnsi="楷体_GB2312" w:eastAsia="楷体_GB2312"/>
          <w:b w:val="0"/>
          <w:color w:val="000000"/>
          <w:sz w:val="32"/>
        </w:rPr>
        <w:t>（四）经营场所与产能规模</w:t>
      </w:r>
    </w:p>
    <w:p>
      <w:pPr>
        <w:spacing w:lineRule="exact" w:line="600" w:before="0" w:after="0"/>
        <w:ind w:firstLine="420"/>
        <w:jc w:val="both"/>
      </w:pPr>
      <w:r>
        <w:rPr>
          <w:rFonts w:ascii="仿宋_GB2312" w:hAnsi="仿宋_GB2312" w:eastAsia="仿宋_GB2312"/>
          <w:b w:val="0"/>
          <w:color w:val="000000"/>
          <w:sz w:val="32"/>
        </w:rPr>
        <w:t>据公开报道，公司现有总资产约8000万元，占地面积约5.2万平方米，拥有员工70余人，建有设施完备的试验中心和技术研发中心。2024年初启动"智改数转"战略后，公司接入省级"云电链"平台、建设智能仓储系统，引进激光切割、立式绕线机、AGV机器人、真空浇注等智能化装备，逐步实现从原材料加工、核心部件制造到整机组装的全链条自主生产与全流程质量溯源。</w:t>
      </w:r>
    </w:p>
    <w:p>
      <w:pPr>
        <w:spacing w:lineRule="exact" w:line="600" w:before="0" w:after="0"/>
        <w:ind w:firstLine="420"/>
        <w:jc w:val="both"/>
      </w:pPr>
      <w:r>
        <w:rPr>
          <w:rFonts w:ascii="仿宋_GB2312" w:hAnsi="仿宋_GB2312" w:eastAsia="仿宋_GB2312"/>
          <w:b w:val="0"/>
          <w:color w:val="000000"/>
          <w:sz w:val="32"/>
        </w:rPr>
        <w:t>产能方面，公司新增投资4.2亿元建设的全自动化高性能变压器试验设备生产线及330KV高性能变压器产线，车间已完成新建改造，全部投产后预计年新增产值3亿元。产品已成功迈过330KV等级门槛，使其有能力参与更高电压等级的电力工程建设项目、拓宽市场份额。需要说明的是，上述"总资产""产值"均系企业经营或媒体披露口径，非经审计财务数据，实际应以审计报告为准。</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要素</w:t>
            </w:r>
          </w:p>
        </w:tc>
        <w:tc>
          <w:tcPr>
            <w:tcW w:type="dxa" w:w="2948"/>
          </w:tcPr>
          <w:p>
            <w:pPr>
              <w:spacing w:lineRule="exact" w:line="600"/>
              <w:jc w:val="center"/>
            </w:pPr>
            <w:r/>
            <w:r>
              <w:rPr>
                <w:rFonts w:ascii="黑体" w:hAnsi="黑体" w:eastAsia="黑体"/>
                <w:b/>
                <w:color w:val="000000"/>
                <w:sz w:val="32"/>
              </w:rPr>
              <w:t>披露情况</w:t>
            </w:r>
          </w:p>
        </w:tc>
        <w:tc>
          <w:tcPr>
            <w:tcW w:type="dxa" w:w="2948"/>
          </w:tcPr>
          <w:p>
            <w:pPr>
              <w:spacing w:lineRule="exact" w:line="600"/>
              <w:jc w:val="center"/>
            </w:pPr>
            <w:r/>
            <w:r>
              <w:rPr>
                <w:rFonts w:ascii="黑体" w:hAnsi="黑体" w:eastAsia="黑体"/>
                <w:b/>
                <w:color w:val="000000"/>
                <w:sz w:val="32"/>
              </w:rPr>
              <w:t>来源</w:t>
            </w:r>
          </w:p>
        </w:tc>
      </w:tr>
      <w:tr>
        <w:tc>
          <w:tcPr>
            <w:tcW w:type="dxa" w:w="2948"/>
          </w:tcPr>
          <w:p>
            <w:pPr>
              <w:spacing w:lineRule="exact" w:line="600"/>
              <w:jc w:val="center"/>
            </w:pPr>
            <w:r/>
            <w:r>
              <w:rPr>
                <w:rFonts w:ascii="仿宋_GB2312" w:hAnsi="仿宋_GB2312" w:eastAsia="仿宋_GB2312"/>
                <w:b w:val="0"/>
                <w:color w:val="000000"/>
                <w:sz w:val="32"/>
              </w:rPr>
              <w:t>总资产</w:t>
            </w:r>
          </w:p>
        </w:tc>
        <w:tc>
          <w:tcPr>
            <w:tcW w:type="dxa" w:w="2948"/>
          </w:tcPr>
          <w:p>
            <w:pPr>
              <w:spacing w:lineRule="exact" w:line="600"/>
              <w:jc w:val="center"/>
            </w:pPr>
            <w:r/>
            <w:r>
              <w:rPr>
                <w:rFonts w:ascii="仿宋_GB2312" w:hAnsi="仿宋_GB2312" w:eastAsia="仿宋_GB2312"/>
                <w:b w:val="0"/>
                <w:color w:val="000000"/>
                <w:sz w:val="32"/>
              </w:rPr>
              <w:t>约8000万元</w:t>
            </w:r>
          </w:p>
        </w:tc>
        <w:tc>
          <w:tcPr>
            <w:tcW w:type="dxa" w:w="2948"/>
          </w:tcPr>
          <w:p>
            <w:pPr>
              <w:spacing w:lineRule="exact" w:line="600"/>
              <w:jc w:val="center"/>
            </w:pPr>
            <w:r/>
            <w:r>
              <w:rPr>
                <w:rFonts w:ascii="仿宋_GB2312" w:hAnsi="仿宋_GB2312" w:eastAsia="仿宋_GB2312"/>
                <w:b w:val="0"/>
                <w:color w:val="000000"/>
                <w:sz w:val="32"/>
              </w:rPr>
              <w:t>成武县官方报道</w:t>
            </w:r>
          </w:p>
        </w:tc>
      </w:tr>
      <w:tr>
        <w:tc>
          <w:tcPr>
            <w:tcW w:type="dxa" w:w="2948"/>
          </w:tcPr>
          <w:p>
            <w:pPr>
              <w:spacing w:lineRule="exact" w:line="600"/>
              <w:jc w:val="center"/>
            </w:pPr>
            <w:r/>
            <w:r>
              <w:rPr>
                <w:rFonts w:ascii="仿宋_GB2312" w:hAnsi="仿宋_GB2312" w:eastAsia="仿宋_GB2312"/>
                <w:b w:val="0"/>
                <w:color w:val="000000"/>
                <w:sz w:val="32"/>
              </w:rPr>
              <w:t>占地面积</w:t>
            </w:r>
          </w:p>
        </w:tc>
        <w:tc>
          <w:tcPr>
            <w:tcW w:type="dxa" w:w="2948"/>
          </w:tcPr>
          <w:p>
            <w:pPr>
              <w:spacing w:lineRule="exact" w:line="600"/>
              <w:jc w:val="center"/>
            </w:pPr>
            <w:r/>
            <w:r>
              <w:rPr>
                <w:rFonts w:ascii="仿宋_GB2312" w:hAnsi="仿宋_GB2312" w:eastAsia="仿宋_GB2312"/>
                <w:b w:val="0"/>
                <w:color w:val="000000"/>
                <w:sz w:val="32"/>
              </w:rPr>
              <w:t>约5.2万平方米</w:t>
            </w:r>
          </w:p>
        </w:tc>
        <w:tc>
          <w:tcPr>
            <w:tcW w:type="dxa" w:w="2948"/>
          </w:tcPr>
          <w:p>
            <w:pPr>
              <w:spacing w:lineRule="exact" w:line="600"/>
              <w:jc w:val="center"/>
            </w:pPr>
            <w:r/>
            <w:r>
              <w:rPr>
                <w:rFonts w:ascii="仿宋_GB2312" w:hAnsi="仿宋_GB2312" w:eastAsia="仿宋_GB2312"/>
                <w:b w:val="0"/>
                <w:color w:val="000000"/>
                <w:sz w:val="32"/>
              </w:rPr>
              <w:t>成武县官方报道</w:t>
            </w:r>
          </w:p>
        </w:tc>
      </w:tr>
      <w:tr>
        <w:tc>
          <w:tcPr>
            <w:tcW w:type="dxa" w:w="2948"/>
          </w:tcPr>
          <w:p>
            <w:pPr>
              <w:spacing w:lineRule="exact" w:line="600"/>
              <w:jc w:val="center"/>
            </w:pPr>
            <w:r/>
            <w:r>
              <w:rPr>
                <w:rFonts w:ascii="仿宋_GB2312" w:hAnsi="仿宋_GB2312" w:eastAsia="仿宋_GB2312"/>
                <w:b w:val="0"/>
                <w:color w:val="000000"/>
                <w:sz w:val="32"/>
              </w:rPr>
              <w:t>员工人数</w:t>
            </w:r>
          </w:p>
        </w:tc>
        <w:tc>
          <w:tcPr>
            <w:tcW w:type="dxa" w:w="2948"/>
          </w:tcPr>
          <w:p>
            <w:pPr>
              <w:spacing w:lineRule="exact" w:line="600"/>
              <w:jc w:val="center"/>
            </w:pPr>
            <w:r/>
            <w:r>
              <w:rPr>
                <w:rFonts w:ascii="仿宋_GB2312" w:hAnsi="仿宋_GB2312" w:eastAsia="仿宋_GB2312"/>
                <w:b w:val="0"/>
                <w:color w:val="000000"/>
                <w:sz w:val="32"/>
              </w:rPr>
              <w:t>70余人</w:t>
            </w:r>
          </w:p>
        </w:tc>
        <w:tc>
          <w:tcPr>
            <w:tcW w:type="dxa" w:w="2948"/>
          </w:tcPr>
          <w:p>
            <w:pPr>
              <w:spacing w:lineRule="exact" w:line="600"/>
              <w:jc w:val="center"/>
            </w:pPr>
            <w:r/>
            <w:r>
              <w:rPr>
                <w:rFonts w:ascii="仿宋_GB2312" w:hAnsi="仿宋_GB2312" w:eastAsia="仿宋_GB2312"/>
                <w:b w:val="0"/>
                <w:color w:val="000000"/>
                <w:sz w:val="32"/>
              </w:rPr>
              <w:t>成武县官方报道</w:t>
            </w:r>
          </w:p>
        </w:tc>
      </w:tr>
      <w:tr>
        <w:tc>
          <w:tcPr>
            <w:tcW w:type="dxa" w:w="2948"/>
          </w:tcPr>
          <w:p>
            <w:pPr>
              <w:spacing w:lineRule="exact" w:line="600"/>
              <w:jc w:val="center"/>
            </w:pPr>
            <w:r/>
            <w:r>
              <w:rPr>
                <w:rFonts w:ascii="仿宋_GB2312" w:hAnsi="仿宋_GB2312" w:eastAsia="仿宋_GB2312"/>
                <w:b w:val="0"/>
                <w:color w:val="000000"/>
                <w:sz w:val="32"/>
              </w:rPr>
              <w:t>2024年销售收入</w:t>
            </w:r>
          </w:p>
        </w:tc>
        <w:tc>
          <w:tcPr>
            <w:tcW w:type="dxa" w:w="2948"/>
          </w:tcPr>
          <w:p>
            <w:pPr>
              <w:spacing w:lineRule="exact" w:line="600"/>
              <w:jc w:val="center"/>
            </w:pPr>
            <w:r/>
            <w:r>
              <w:rPr>
                <w:rFonts w:ascii="仿宋_GB2312" w:hAnsi="仿宋_GB2312" w:eastAsia="仿宋_GB2312"/>
                <w:b w:val="0"/>
                <w:color w:val="000000"/>
                <w:sz w:val="32"/>
              </w:rPr>
              <w:t>1.3亿元（新产线投产后当年）</w:t>
            </w:r>
          </w:p>
        </w:tc>
        <w:tc>
          <w:tcPr>
            <w:tcW w:type="dxa" w:w="2948"/>
          </w:tcPr>
          <w:p>
            <w:pPr>
              <w:spacing w:lineRule="exact" w:line="600"/>
              <w:jc w:val="center"/>
            </w:pPr>
            <w:r/>
            <w:r>
              <w:rPr>
                <w:rFonts w:ascii="仿宋_GB2312" w:hAnsi="仿宋_GB2312" w:eastAsia="仿宋_GB2312"/>
                <w:b w:val="0"/>
                <w:color w:val="000000"/>
                <w:sz w:val="32"/>
              </w:rPr>
              <w:t>菏泽日报报道</w:t>
            </w:r>
          </w:p>
        </w:tc>
      </w:tr>
      <w:tr>
        <w:tc>
          <w:tcPr>
            <w:tcW w:type="dxa" w:w="2948"/>
          </w:tcPr>
          <w:p>
            <w:pPr>
              <w:spacing w:lineRule="exact" w:line="600"/>
              <w:jc w:val="center"/>
            </w:pPr>
            <w:r/>
            <w:r>
              <w:rPr>
                <w:rFonts w:ascii="仿宋_GB2312" w:hAnsi="仿宋_GB2312" w:eastAsia="仿宋_GB2312"/>
                <w:b w:val="0"/>
                <w:color w:val="000000"/>
                <w:sz w:val="32"/>
              </w:rPr>
              <w:t>新增投资</w:t>
            </w:r>
          </w:p>
        </w:tc>
        <w:tc>
          <w:tcPr>
            <w:tcW w:type="dxa" w:w="2948"/>
          </w:tcPr>
          <w:p>
            <w:pPr>
              <w:spacing w:lineRule="exact" w:line="600"/>
              <w:jc w:val="center"/>
            </w:pPr>
            <w:r/>
            <w:r>
              <w:rPr>
                <w:rFonts w:ascii="仿宋_GB2312" w:hAnsi="仿宋_GB2312" w:eastAsia="仿宋_GB2312"/>
                <w:b w:val="0"/>
                <w:color w:val="000000"/>
                <w:sz w:val="32"/>
              </w:rPr>
              <w:t>4.2亿元（330KV产线）</w:t>
            </w:r>
          </w:p>
        </w:tc>
        <w:tc>
          <w:tcPr>
            <w:tcW w:type="dxa" w:w="2948"/>
          </w:tcPr>
          <w:p>
            <w:pPr>
              <w:spacing w:lineRule="exact" w:line="600"/>
              <w:jc w:val="center"/>
            </w:pPr>
            <w:r/>
            <w:r>
              <w:rPr>
                <w:rFonts w:ascii="仿宋_GB2312" w:hAnsi="仿宋_GB2312" w:eastAsia="仿宋_GB2312"/>
                <w:b w:val="0"/>
                <w:color w:val="000000"/>
                <w:sz w:val="32"/>
              </w:rPr>
              <w:t>菏泽日报报道</w:t>
            </w:r>
          </w:p>
        </w:tc>
      </w:tr>
      <w:tr>
        <w:tc>
          <w:tcPr>
            <w:tcW w:type="dxa" w:w="2948"/>
          </w:tcPr>
          <w:p>
            <w:pPr>
              <w:spacing w:lineRule="exact" w:line="600"/>
              <w:jc w:val="center"/>
            </w:pPr>
            <w:r/>
            <w:r>
              <w:rPr>
                <w:rFonts w:ascii="仿宋_GB2312" w:hAnsi="仿宋_GB2312" w:eastAsia="仿宋_GB2312"/>
                <w:b w:val="0"/>
                <w:color w:val="000000"/>
                <w:sz w:val="32"/>
              </w:rPr>
              <w:t>预计年新增产值</w:t>
            </w:r>
          </w:p>
        </w:tc>
        <w:tc>
          <w:tcPr>
            <w:tcW w:type="dxa" w:w="2948"/>
          </w:tcPr>
          <w:p>
            <w:pPr>
              <w:spacing w:lineRule="exact" w:line="600"/>
              <w:jc w:val="center"/>
            </w:pPr>
            <w:r/>
            <w:r>
              <w:rPr>
                <w:rFonts w:ascii="仿宋_GB2312" w:hAnsi="仿宋_GB2312" w:eastAsia="仿宋_GB2312"/>
                <w:b w:val="0"/>
                <w:color w:val="000000"/>
                <w:sz w:val="32"/>
              </w:rPr>
              <w:t>3亿元</w:t>
            </w:r>
          </w:p>
        </w:tc>
        <w:tc>
          <w:tcPr>
            <w:tcW w:type="dxa" w:w="2948"/>
          </w:tcPr>
          <w:p>
            <w:pPr>
              <w:spacing w:lineRule="exact" w:line="600"/>
              <w:jc w:val="center"/>
            </w:pPr>
            <w:r/>
            <w:r>
              <w:rPr>
                <w:rFonts w:ascii="仿宋_GB2312" w:hAnsi="仿宋_GB2312" w:eastAsia="仿宋_GB2312"/>
                <w:b w:val="0"/>
                <w:color w:val="000000"/>
                <w:sz w:val="32"/>
              </w:rPr>
              <w:t>菏泽日报报道</w:t>
            </w:r>
          </w:p>
        </w:tc>
      </w:tr>
      <w:tr>
        <w:tc>
          <w:tcPr>
            <w:tcW w:type="dxa" w:w="2948"/>
          </w:tcPr>
          <w:p>
            <w:pPr>
              <w:spacing w:lineRule="exact" w:line="600"/>
              <w:jc w:val="center"/>
            </w:pPr>
            <w:r/>
            <w:r>
              <w:rPr>
                <w:rFonts w:ascii="仿宋_GB2312" w:hAnsi="仿宋_GB2312" w:eastAsia="仿宋_GB2312"/>
                <w:b w:val="0"/>
                <w:color w:val="000000"/>
                <w:sz w:val="32"/>
              </w:rPr>
              <w:t>技术能级</w:t>
            </w:r>
          </w:p>
        </w:tc>
        <w:tc>
          <w:tcPr>
            <w:tcW w:type="dxa" w:w="2948"/>
          </w:tcPr>
          <w:p>
            <w:pPr>
              <w:spacing w:lineRule="exact" w:line="600"/>
              <w:jc w:val="center"/>
            </w:pPr>
            <w:r/>
            <w:r>
              <w:rPr>
                <w:rFonts w:ascii="仿宋_GB2312" w:hAnsi="仿宋_GB2312" w:eastAsia="仿宋_GB2312"/>
                <w:b w:val="0"/>
                <w:color w:val="000000"/>
                <w:sz w:val="32"/>
              </w:rPr>
              <w:t>具备330KV高性能变压器量产能力</w:t>
            </w:r>
          </w:p>
        </w:tc>
        <w:tc>
          <w:tcPr>
            <w:tcW w:type="dxa" w:w="2948"/>
          </w:tcPr>
          <w:p>
            <w:pPr>
              <w:spacing w:lineRule="exact" w:line="600"/>
              <w:jc w:val="center"/>
            </w:pPr>
            <w:r/>
            <w:r>
              <w:rPr>
                <w:rFonts w:ascii="仿宋_GB2312" w:hAnsi="仿宋_GB2312" w:eastAsia="仿宋_GB2312"/>
                <w:b w:val="0"/>
                <w:color w:val="000000"/>
                <w:sz w:val="32"/>
              </w:rPr>
              <w:t>菏泽日报报道</w:t>
            </w:r>
          </w:p>
        </w:tc>
      </w:tr>
    </w:tbl>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（一）主营业务与产品结构</w:t>
      </w:r>
    </w:p>
    <w:p>
      <w:pPr>
        <w:spacing w:lineRule="exact" w:line="600" w:before="0" w:after="0"/>
        <w:ind w:firstLine="420"/>
        <w:jc w:val="both"/>
      </w:pPr>
      <w:r>
        <w:rPr>
          <w:rFonts w:ascii="仿宋_GB2312" w:hAnsi="仿宋_GB2312" w:eastAsia="仿宋_GB2312"/>
          <w:b w:val="0"/>
          <w:color w:val="000000"/>
          <w:sz w:val="32"/>
        </w:rPr>
        <w:t>公司主营业务为输变电设备的研发、制造与销售，核心产品包括电力变压器、箱式变电站、高低压开关柜、输变电线路器材等，并逐步形成"变压器+箱变+开关柜"的多元产品矩阵。2024年330KV高性能变压器产线投产后，企业产品电压等级实现从中低压向高电压的关键跃升，可服务于更高等级电网工程。</w:t>
      </w:r>
    </w:p>
    <w:p>
      <w:pPr>
        <w:spacing w:lineRule="exact" w:line="600" w:before="0" w:after="0"/>
        <w:ind w:firstLine="420"/>
        <w:jc w:val="both"/>
      </w:pPr>
      <w:r>
        <w:rPr>
          <w:rFonts w:ascii="仿宋_GB2312" w:hAnsi="仿宋_GB2312" w:eastAsia="仿宋_GB2312"/>
          <w:b w:val="0"/>
          <w:color w:val="000000"/>
          <w:sz w:val="32"/>
        </w:rPr>
        <w:t>在业务定位上，公司明确提出依托成武输变电产业集群和"云电链"数字化智慧平台，在特高压输变电领域率先实现从原材料加工、核心部件制造到整机组装的全链条自主生产，达成"一企全能"目标。通过原材料直采降低成本、多产线协同提升产能利用率、智能流通系统缩短周转周期，并构建全流程质量溯源体系，全面筑牢产品可靠性与供应链韧性。</w:t>
      </w:r>
    </w:p>
    <w:p>
      <w:pPr>
        <w:spacing w:lineRule="exact" w:line="600" w:before="120" w:after="120"/>
        <w:ind w:firstLine="420"/>
        <w:jc w:val="left"/>
      </w:pPr>
      <w:r>
        <w:rPr>
          <w:rFonts w:ascii="楷体_GB2312" w:hAnsi="楷体_GB2312" w:eastAsia="楷体_GB2312"/>
          <w:b w:val="0"/>
          <w:color w:val="000000"/>
          <w:sz w:val="32"/>
        </w:rPr>
        <w:t>（二）市场地位与客户结构</w:t>
      </w:r>
    </w:p>
    <w:p>
      <w:pPr>
        <w:spacing w:lineRule="exact" w:line="600" w:before="0" w:after="0"/>
        <w:ind w:firstLine="420"/>
        <w:jc w:val="both"/>
      </w:pPr>
      <w:r>
        <w:rPr>
          <w:rFonts w:ascii="仿宋_GB2312" w:hAnsi="仿宋_GB2312" w:eastAsia="仿宋_GB2312"/>
          <w:b w:val="0"/>
          <w:color w:val="000000"/>
          <w:sz w:val="32"/>
        </w:rPr>
        <w:t>公司被成武县官方定位为输变电装备产业集群的骨干成长型企业，是省级高新技术企业、专精特新企业及科技型中小企业。其产品广泛应用于电网、高铁等国家重大工程，客户以电网公司、铁路与轨道交通建设方、大型工程总包商为主，具备一定的重点工程配套履历。</w:t>
      </w:r>
    </w:p>
    <w:p>
      <w:pPr>
        <w:spacing w:lineRule="exact" w:line="600" w:before="0" w:after="0"/>
        <w:ind w:firstLine="420"/>
        <w:jc w:val="both"/>
      </w:pPr>
      <w:r>
        <w:rPr>
          <w:rFonts w:ascii="仿宋_GB2312" w:hAnsi="仿宋_GB2312" w:eastAsia="仿宋_GB2312"/>
          <w:b w:val="0"/>
          <w:color w:val="000000"/>
          <w:sz w:val="32"/>
        </w:rPr>
        <w:t>在成武"输变配储"一体四面产业链格局中，迅驰电气以专精特新"的技术定位与330KV高电压产能，填补了集群内中高压整机制造的梯队力量，与链主达驰电气形成"龙头引领+梯队配套"的良性生态。随着330KV产线全面达产，公司在省内外高电压等级市场的份额有望持续提升。</w:t>
      </w:r>
    </w:p>
    <w:p>
      <w:pPr>
        <w:spacing w:lineRule="exact" w:line="600" w:before="120" w:after="120"/>
        <w:ind w:firstLine="420"/>
        <w:jc w:val="left"/>
      </w:pPr>
      <w:r>
        <w:rPr>
          <w:rFonts w:ascii="楷体_GB2312" w:hAnsi="楷体_GB2312" w:eastAsia="楷体_GB2312"/>
          <w:b w:val="0"/>
          <w:color w:val="000000"/>
          <w:sz w:val="32"/>
        </w:rPr>
        <w:t>（三）研发能力与技术积累</w:t>
      </w:r>
    </w:p>
    <w:p>
      <w:pPr>
        <w:spacing w:lineRule="exact" w:line="600" w:before="0" w:after="0"/>
        <w:ind w:firstLine="420"/>
        <w:jc w:val="both"/>
      </w:pPr>
      <w:r>
        <w:rPr>
          <w:rFonts w:ascii="仿宋_GB2312" w:hAnsi="仿宋_GB2312" w:eastAsia="仿宋_GB2312"/>
          <w:b w:val="0"/>
          <w:color w:val="000000"/>
          <w:sz w:val="32"/>
        </w:rPr>
        <w:t>公司建有设施完备的试验中心和技术研发中心，与中国沈阳变压器研究院、青岛科技大学等科研院所深度合作，构建起高效协同的创新体系。作为国家级高新技术企业，公司持续的研发投入支撑了330KV高性能变压器的量产突破，体现了较强的工程化与工艺转化能力。</w:t>
      </w:r>
    </w:p>
    <w:p>
      <w:pPr>
        <w:spacing w:lineRule="exact" w:line="600" w:before="0" w:after="0"/>
        <w:ind w:firstLine="420"/>
        <w:jc w:val="both"/>
      </w:pPr>
      <w:r>
        <w:rPr>
          <w:rFonts w:ascii="仿宋_GB2312" w:hAnsi="仿宋_GB2312" w:eastAsia="仿宋_GB2312"/>
          <w:b w:val="0"/>
          <w:color w:val="000000"/>
          <w:sz w:val="32"/>
        </w:rPr>
        <w:t>在数字化转型方面，公司ERP系统、数字孪生技术已覆盖全生产流程，智能仓储实现"货到人"精准配送，可视化看板报工系统让订单进度、设备状态实时可查。这些数字化能力本身也是企业技术与管理水平的体现，为产品质量一致性与交付确定性提供了保障。</w:t>
      </w:r>
    </w:p>
    <w:p>
      <w:pPr>
        <w:spacing w:lineRule="exact" w:line="600" w:before="120" w:after="120"/>
        <w:ind w:firstLine="420"/>
        <w:jc w:val="left"/>
      </w:pPr>
      <w:r>
        <w:rPr>
          <w:rFonts w:ascii="楷体_GB2312" w:hAnsi="楷体_GB2312" w:eastAsia="楷体_GB2312"/>
          <w:b w:val="0"/>
          <w:color w:val="000000"/>
          <w:sz w:val="32"/>
        </w:rPr>
        <w:t>（四）资质认证与品牌荣誉</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类别</w:t>
            </w:r>
          </w:p>
        </w:tc>
        <w:tc>
          <w:tcPr>
            <w:tcW w:type="dxa" w:w="2948"/>
          </w:tcPr>
          <w:p>
            <w:pPr>
              <w:spacing w:lineRule="exact" w:line="600"/>
              <w:jc w:val="center"/>
            </w:pPr>
            <w:r/>
            <w:r>
              <w:rPr>
                <w:rFonts w:ascii="黑体" w:hAnsi="黑体" w:eastAsia="黑体"/>
                <w:b/>
                <w:color w:val="000000"/>
                <w:sz w:val="32"/>
              </w:rPr>
              <w:t>资质或荣誉</w:t>
            </w:r>
          </w:p>
        </w:tc>
        <w:tc>
          <w:tcPr>
            <w:tcW w:type="dxa" w:w="2948"/>
          </w:tcPr>
          <w:p>
            <w:pPr>
              <w:spacing w:lineRule="exact" w:line="600"/>
              <w:jc w:val="center"/>
            </w:pPr>
            <w:r/>
            <w:r>
              <w:rPr>
                <w:rFonts w:ascii="黑体" w:hAnsi="黑体" w:eastAsia="黑体"/>
                <w:b/>
                <w:color w:val="000000"/>
                <w:sz w:val="32"/>
              </w:rPr>
              <w:t>说明</w:t>
            </w:r>
          </w:p>
        </w:tc>
      </w:tr>
      <w:tr>
        <w:tc>
          <w:tcPr>
            <w:tcW w:type="dxa" w:w="2948"/>
          </w:tcPr>
          <w:p>
            <w:pPr>
              <w:spacing w:lineRule="exact" w:line="600"/>
              <w:jc w:val="center"/>
            </w:pPr>
            <w:r/>
            <w:r>
              <w:rPr>
                <w:rFonts w:ascii="仿宋_GB2312" w:hAnsi="仿宋_GB2312" w:eastAsia="仿宋_GB2312"/>
                <w:b w:val="0"/>
                <w:color w:val="000000"/>
                <w:sz w:val="32"/>
              </w:rPr>
              <w:t>企业资质</w:t>
            </w:r>
          </w:p>
        </w:tc>
        <w:tc>
          <w:tcPr>
            <w:tcW w:type="dxa" w:w="2948"/>
          </w:tcPr>
          <w:p>
            <w:pPr>
              <w:spacing w:lineRule="exact" w:line="600"/>
              <w:jc w:val="center"/>
            </w:pPr>
            <w:r/>
            <w:r>
              <w:rPr>
                <w:rFonts w:ascii="仿宋_GB2312" w:hAnsi="仿宋_GB2312" w:eastAsia="仿宋_GB2312"/>
                <w:b w:val="0"/>
                <w:color w:val="000000"/>
                <w:sz w:val="32"/>
              </w:rPr>
              <w:t>国家级高新技术企业</w:t>
            </w:r>
          </w:p>
        </w:tc>
        <w:tc>
          <w:tcPr>
            <w:tcW w:type="dxa" w:w="2948"/>
          </w:tcPr>
          <w:p>
            <w:pPr>
              <w:spacing w:lineRule="exact" w:line="600"/>
              <w:jc w:val="center"/>
            </w:pPr>
            <w:r/>
            <w:r>
              <w:rPr>
                <w:rFonts w:ascii="仿宋_GB2312" w:hAnsi="仿宋_GB2312" w:eastAsia="仿宋_GB2312"/>
                <w:b w:val="0"/>
                <w:color w:val="000000"/>
                <w:sz w:val="32"/>
              </w:rPr>
              <w:t>持续有效</w:t>
            </w:r>
          </w:p>
        </w:tc>
      </w:tr>
      <w:tr>
        <w:tc>
          <w:tcPr>
            <w:tcW w:type="dxa" w:w="2948"/>
          </w:tcPr>
          <w:p>
            <w:pPr>
              <w:spacing w:lineRule="exact" w:line="600"/>
              <w:jc w:val="center"/>
            </w:pPr>
            <w:r/>
            <w:r>
              <w:rPr>
                <w:rFonts w:ascii="仿宋_GB2312" w:hAnsi="仿宋_GB2312" w:eastAsia="仿宋_GB2312"/>
                <w:b w:val="0"/>
                <w:color w:val="000000"/>
                <w:sz w:val="32"/>
              </w:rPr>
              <w:t>企业资质</w:t>
            </w:r>
          </w:p>
        </w:tc>
        <w:tc>
          <w:tcPr>
            <w:tcW w:type="dxa" w:w="2948"/>
          </w:tcPr>
          <w:p>
            <w:pPr>
              <w:spacing w:lineRule="exact" w:line="600"/>
              <w:jc w:val="center"/>
            </w:pPr>
            <w:r/>
            <w:r>
              <w:rPr>
                <w:rFonts w:ascii="仿宋_GB2312" w:hAnsi="仿宋_GB2312" w:eastAsia="仿宋_GB2312"/>
                <w:b w:val="0"/>
                <w:color w:val="000000"/>
                <w:sz w:val="32"/>
              </w:rPr>
              <w:t>省级专精特新企业</w:t>
            </w:r>
          </w:p>
        </w:tc>
        <w:tc>
          <w:tcPr>
            <w:tcW w:type="dxa" w:w="2948"/>
          </w:tcPr>
          <w:p>
            <w:pPr>
              <w:spacing w:lineRule="exact" w:line="600"/>
              <w:jc w:val="center"/>
            </w:pPr>
            <w:r/>
            <w:r>
              <w:rPr>
                <w:rFonts w:ascii="仿宋_GB2312" w:hAnsi="仿宋_GB2312" w:eastAsia="仿宋_GB2312"/>
                <w:b w:val="0"/>
                <w:color w:val="000000"/>
                <w:sz w:val="32"/>
              </w:rPr>
              <w:t>山东省认定</w:t>
            </w:r>
          </w:p>
        </w:tc>
      </w:tr>
      <w:tr>
        <w:tc>
          <w:tcPr>
            <w:tcW w:type="dxa" w:w="2948"/>
          </w:tcPr>
          <w:p>
            <w:pPr>
              <w:spacing w:lineRule="exact" w:line="600"/>
              <w:jc w:val="center"/>
            </w:pPr>
            <w:r/>
            <w:r>
              <w:rPr>
                <w:rFonts w:ascii="仿宋_GB2312" w:hAnsi="仿宋_GB2312" w:eastAsia="仿宋_GB2312"/>
                <w:b w:val="0"/>
                <w:color w:val="000000"/>
                <w:sz w:val="32"/>
              </w:rPr>
              <w:t>企业资质</w:t>
            </w:r>
          </w:p>
        </w:tc>
        <w:tc>
          <w:tcPr>
            <w:tcW w:type="dxa" w:w="2948"/>
          </w:tcPr>
          <w:p>
            <w:pPr>
              <w:spacing w:lineRule="exact" w:line="600"/>
              <w:jc w:val="center"/>
            </w:pPr>
            <w:r/>
            <w:r>
              <w:rPr>
                <w:rFonts w:ascii="仿宋_GB2312" w:hAnsi="仿宋_GB2312" w:eastAsia="仿宋_GB2312"/>
                <w:b w:val="0"/>
                <w:color w:val="000000"/>
                <w:sz w:val="32"/>
              </w:rPr>
              <w:t>科技型中小企业</w:t>
            </w:r>
          </w:p>
        </w:tc>
        <w:tc>
          <w:tcPr>
            <w:tcW w:type="dxa" w:w="2948"/>
          </w:tcPr>
          <w:p>
            <w:pPr>
              <w:spacing w:lineRule="exact" w:line="600"/>
              <w:jc w:val="center"/>
            </w:pPr>
            <w:r/>
            <w:r>
              <w:rPr>
                <w:rFonts w:ascii="仿宋_GB2312" w:hAnsi="仿宋_GB2312" w:eastAsia="仿宋_GB2312"/>
                <w:b w:val="0"/>
                <w:color w:val="000000"/>
                <w:sz w:val="32"/>
              </w:rPr>
              <w:t>入库</w:t>
            </w:r>
          </w:p>
        </w:tc>
      </w:tr>
      <w:tr>
        <w:tc>
          <w:tcPr>
            <w:tcW w:type="dxa" w:w="2948"/>
          </w:tcPr>
          <w:p>
            <w:pPr>
              <w:spacing w:lineRule="exact" w:line="600"/>
              <w:jc w:val="center"/>
            </w:pPr>
            <w:r/>
            <w:r>
              <w:rPr>
                <w:rFonts w:ascii="仿宋_GB2312" w:hAnsi="仿宋_GB2312" w:eastAsia="仿宋_GB2312"/>
                <w:b w:val="0"/>
                <w:color w:val="000000"/>
                <w:sz w:val="32"/>
              </w:rPr>
              <w:t>技术平台</w:t>
            </w:r>
          </w:p>
        </w:tc>
        <w:tc>
          <w:tcPr>
            <w:tcW w:type="dxa" w:w="2948"/>
          </w:tcPr>
          <w:p>
            <w:pPr>
              <w:spacing w:lineRule="exact" w:line="600"/>
              <w:jc w:val="center"/>
            </w:pPr>
            <w:r/>
            <w:r>
              <w:rPr>
                <w:rFonts w:ascii="仿宋_GB2312" w:hAnsi="仿宋_GB2312" w:eastAsia="仿宋_GB2312"/>
                <w:b w:val="0"/>
                <w:color w:val="000000"/>
                <w:sz w:val="32"/>
              </w:rPr>
              <w:t>试验中心、技术研发中心</w:t>
            </w:r>
          </w:p>
        </w:tc>
        <w:tc>
          <w:tcPr>
            <w:tcW w:type="dxa" w:w="2948"/>
          </w:tcPr>
          <w:p>
            <w:pPr>
              <w:spacing w:lineRule="exact" w:line="600"/>
              <w:jc w:val="center"/>
            </w:pPr>
            <w:r/>
            <w:r>
              <w:rPr>
                <w:rFonts w:ascii="仿宋_GB2312" w:hAnsi="仿宋_GB2312" w:eastAsia="仿宋_GB2312"/>
                <w:b w:val="0"/>
                <w:color w:val="000000"/>
                <w:sz w:val="32"/>
              </w:rPr>
              <w:t>自建</w:t>
            </w:r>
          </w:p>
        </w:tc>
      </w:tr>
      <w:tr>
        <w:tc>
          <w:tcPr>
            <w:tcW w:type="dxa" w:w="2948"/>
          </w:tcPr>
          <w:p>
            <w:pPr>
              <w:spacing w:lineRule="exact" w:line="600"/>
              <w:jc w:val="center"/>
            </w:pPr>
            <w:r/>
            <w:r>
              <w:rPr>
                <w:rFonts w:ascii="仿宋_GB2312" w:hAnsi="仿宋_GB2312" w:eastAsia="仿宋_GB2312"/>
                <w:b w:val="0"/>
                <w:color w:val="000000"/>
                <w:sz w:val="32"/>
              </w:rPr>
              <w:t>创新合作</w:t>
            </w:r>
          </w:p>
        </w:tc>
        <w:tc>
          <w:tcPr>
            <w:tcW w:type="dxa" w:w="2948"/>
          </w:tcPr>
          <w:p>
            <w:pPr>
              <w:spacing w:lineRule="exact" w:line="600"/>
              <w:jc w:val="center"/>
            </w:pPr>
            <w:r/>
            <w:r>
              <w:rPr>
                <w:rFonts w:ascii="仿宋_GB2312" w:hAnsi="仿宋_GB2312" w:eastAsia="仿宋_GB2312"/>
                <w:b w:val="0"/>
                <w:color w:val="000000"/>
                <w:sz w:val="32"/>
              </w:rPr>
              <w:t>与沈阳变压器研究院、青岛科技大学合作</w:t>
            </w:r>
          </w:p>
        </w:tc>
        <w:tc>
          <w:tcPr>
            <w:tcW w:type="dxa" w:w="2948"/>
          </w:tcPr>
          <w:p>
            <w:pPr>
              <w:spacing w:lineRule="exact" w:line="600"/>
              <w:jc w:val="center"/>
            </w:pPr>
            <w:r/>
            <w:r>
              <w:rPr>
                <w:rFonts w:ascii="仿宋_GB2312" w:hAnsi="仿宋_GB2312" w:eastAsia="仿宋_GB2312"/>
                <w:b w:val="0"/>
                <w:color w:val="000000"/>
                <w:sz w:val="32"/>
              </w:rPr>
              <w:t>产学研协同</w:t>
            </w:r>
          </w:p>
        </w:tc>
      </w:tr>
      <w:tr>
        <w:tc>
          <w:tcPr>
            <w:tcW w:type="dxa" w:w="2948"/>
          </w:tcPr>
          <w:p>
            <w:pPr>
              <w:spacing w:lineRule="exact" w:line="600"/>
              <w:jc w:val="center"/>
            </w:pPr>
            <w:r/>
            <w:r>
              <w:rPr>
                <w:rFonts w:ascii="仿宋_GB2312" w:hAnsi="仿宋_GB2312" w:eastAsia="仿宋_GB2312"/>
                <w:b w:val="0"/>
                <w:color w:val="000000"/>
                <w:sz w:val="32"/>
              </w:rPr>
              <w:t>数字平台</w:t>
            </w:r>
          </w:p>
        </w:tc>
        <w:tc>
          <w:tcPr>
            <w:tcW w:type="dxa" w:w="2948"/>
          </w:tcPr>
          <w:p>
            <w:pPr>
              <w:spacing w:lineRule="exact" w:line="600"/>
              <w:jc w:val="center"/>
            </w:pPr>
            <w:r/>
            <w:r>
              <w:rPr>
                <w:rFonts w:ascii="仿宋_GB2312" w:hAnsi="仿宋_GB2312" w:eastAsia="仿宋_GB2312"/>
                <w:b w:val="0"/>
                <w:color w:val="000000"/>
                <w:sz w:val="32"/>
              </w:rPr>
              <w:t>接入省级"云电链"平台</w:t>
            </w:r>
          </w:p>
        </w:tc>
        <w:tc>
          <w:tcPr>
            <w:tcW w:type="dxa" w:w="2948"/>
          </w:tcPr>
          <w:p>
            <w:pPr>
              <w:spacing w:lineRule="exact" w:line="600"/>
              <w:jc w:val="center"/>
            </w:pPr>
            <w:r/>
            <w:r>
              <w:rPr>
                <w:rFonts w:ascii="仿宋_GB2312" w:hAnsi="仿宋_GB2312" w:eastAsia="仿宋_GB2312"/>
                <w:b w:val="0"/>
                <w:color w:val="000000"/>
                <w:sz w:val="32"/>
              </w:rPr>
              <w:t>产业集群赋能</w:t>
            </w:r>
          </w:p>
        </w:tc>
      </w:tr>
      <w:tr>
        <w:tc>
          <w:tcPr>
            <w:tcW w:type="dxa" w:w="2948"/>
          </w:tcPr>
          <w:p>
            <w:pPr>
              <w:spacing w:lineRule="exact" w:line="600"/>
              <w:jc w:val="center"/>
            </w:pPr>
            <w:r/>
            <w:r>
              <w:rPr>
                <w:rFonts w:ascii="仿宋_GB2312" w:hAnsi="仿宋_GB2312" w:eastAsia="仿宋_GB2312"/>
                <w:b w:val="0"/>
                <w:color w:val="000000"/>
                <w:sz w:val="32"/>
              </w:rPr>
              <w:t>转型成果</w:t>
            </w:r>
          </w:p>
        </w:tc>
        <w:tc>
          <w:tcPr>
            <w:tcW w:type="dxa" w:w="2948"/>
          </w:tcPr>
          <w:p>
            <w:pPr>
              <w:spacing w:lineRule="exact" w:line="600"/>
              <w:jc w:val="center"/>
            </w:pPr>
            <w:r/>
            <w:r>
              <w:rPr>
                <w:rFonts w:ascii="仿宋_GB2312" w:hAnsi="仿宋_GB2312" w:eastAsia="仿宋_GB2312"/>
                <w:b w:val="0"/>
                <w:color w:val="000000"/>
                <w:sz w:val="32"/>
              </w:rPr>
              <w:t>330KV高性能变压器量产</w:t>
            </w:r>
          </w:p>
        </w:tc>
        <w:tc>
          <w:tcPr>
            <w:tcW w:type="dxa" w:w="2948"/>
          </w:tcPr>
          <w:p>
            <w:pPr>
              <w:spacing w:lineRule="exact" w:line="600"/>
              <w:jc w:val="center"/>
            </w:pPr>
            <w:r/>
            <w:r>
              <w:rPr>
                <w:rFonts w:ascii="仿宋_GB2312" w:hAnsi="仿宋_GB2312" w:eastAsia="仿宋_GB2312"/>
                <w:b w:val="0"/>
                <w:color w:val="000000"/>
                <w:sz w:val="32"/>
              </w:rPr>
              <w:t>2024年新产线</w:t>
            </w:r>
          </w:p>
        </w:tc>
      </w:tr>
    </w:tbl>
    <w:p>
      <w:pPr>
        <w:spacing w:lineRule="exact" w:line="600" w:before="0" w:after="0"/>
        <w:ind w:firstLine="420"/>
        <w:jc w:val="both"/>
      </w:pPr>
      <w:r>
        <w:rPr>
          <w:rFonts w:ascii="仿宋_GB2312" w:hAnsi="仿宋_GB2312" w:eastAsia="仿宋_GB2312"/>
          <w:b w:val="0"/>
          <w:color w:val="000000"/>
          <w:sz w:val="32"/>
        </w:rPr>
        <w:t>上述资质构成了企业参与国网、南网及重点工程招标的基础门槛。尤其"高新技术企业""专精特新"双重身份，在政府采购、工程配套与金融支持中具备政策倾斜优势，也为其争取银行授信与产业基金关注提供了信用加分。</w:t>
      </w:r>
    </w:p>
    <w:p>
      <w:pPr>
        <w:spacing w:lineRule="exact" w:line="600" w:before="120" w:after="120"/>
        <w:ind w:firstLine="420"/>
        <w:jc w:val="left"/>
      </w:pPr>
      <w:r>
        <w:rPr>
          <w:rFonts w:ascii="楷体_GB2312" w:hAnsi="楷体_GB2312" w:eastAsia="楷体_GB2312"/>
          <w:b w:val="0"/>
          <w:color w:val="000000"/>
          <w:sz w:val="32"/>
        </w:rPr>
        <w:t>（五）社会责任与地方带动</w:t>
      </w:r>
    </w:p>
    <w:p>
      <w:pPr>
        <w:spacing w:lineRule="exact" w:line="600" w:before="0" w:after="0"/>
        <w:ind w:firstLine="420"/>
        <w:jc w:val="both"/>
      </w:pPr>
      <w:r>
        <w:rPr>
          <w:rFonts w:ascii="仿宋_GB2312" w:hAnsi="仿宋_GB2312" w:eastAsia="仿宋_GB2312"/>
          <w:b w:val="0"/>
          <w:color w:val="000000"/>
          <w:sz w:val="32"/>
        </w:rPr>
        <w:t>公司作为成武县本土成长起来的制造企业，就近就地吸纳群众返乡就业，现有员工70余人，并为县域提供了稳定的产业工人岗位。在"工业立县"战略下，公司通过持续增资扩产（2024年新增投资4.2亿元）和反哺地方产业链，成为成武民营经济"智改数转"、高质量发展的标杆样本，对带动县域就业与配套产业发展具有积极作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（一）财务信息披露状况</w:t>
      </w:r>
    </w:p>
    <w:p>
      <w:pPr>
        <w:spacing w:lineRule="exact" w:line="600" w:before="0" w:after="0"/>
        <w:ind w:firstLine="420"/>
        <w:jc w:val="both"/>
      </w:pPr>
      <w:r>
        <w:rPr>
          <w:rFonts w:ascii="仿宋_GB2312" w:hAnsi="仿宋_GB2312" w:eastAsia="仿宋_GB2312"/>
          <w:b w:val="0"/>
          <w:color w:val="000000"/>
          <w:sz w:val="32"/>
        </w:rPr>
        <w:t>公司为非上市有限责任公司，不属于《证券法》规定的信息披露义务人，亦未发行公司债券或资产支持证券，未在任何公开渠道披露经审计的资产负债表、利润表、现金流量表及财务报表附注。截至本报告统计时点，通过国家企业信用信息公示系统、巨潮资讯网、中国货币网、上海清算所等渠道检索，均未获取到公司独立的定期财务报告。</w:t>
      </w:r>
    </w:p>
    <w:p>
      <w:pPr>
        <w:spacing w:lineRule="exact" w:line="600" w:before="0" w:after="0"/>
        <w:jc w:val="left"/>
      </w:pPr>
      <w:r>
        <w:rPr>
          <w:rFonts w:ascii="仿宋_GB2312" w:hAnsi="仿宋_GB2312" w:eastAsia="仿宋_GB2312"/>
          <w:b w:val="0"/>
          <w:color w:val="000000"/>
          <w:sz w:val="28"/>
        </w:rPr>
        <w:t>据此，本报告对公司财务状况的判断如实标注为：财务数据未公开披露。以下分析仅基于工商公示的资本信息、公开报道的资产与产值口径、以及行业普遍经营特征展开定性推断，不构成对具体财务指标的估算，相关结论不得作为授信决策的直接依据。公开报道中的"销售收入""产值"为企业经营口径，不等同于经审计营业收入。</w:t>
      </w:r>
    </w:p>
    <w:p>
      <w:pPr>
        <w:spacing w:lineRule="exact" w:line="600" w:before="120" w:after="120"/>
        <w:ind w:firstLine="420"/>
        <w:jc w:val="left"/>
      </w:pPr>
      <w:r>
        <w:rPr>
          <w:rFonts w:ascii="楷体_GB2312" w:hAnsi="楷体_GB2312" w:eastAsia="楷体_GB2312"/>
          <w:b w:val="0"/>
          <w:color w:val="000000"/>
          <w:sz w:val="32"/>
        </w:rPr>
        <w:t>（二）可获取的资本与规模指标</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指标</w:t>
            </w:r>
          </w:p>
        </w:tc>
        <w:tc>
          <w:tcPr>
            <w:tcW w:type="dxa" w:w="2948"/>
          </w:tcPr>
          <w:p>
            <w:pPr>
              <w:spacing w:lineRule="exact" w:line="600"/>
              <w:jc w:val="center"/>
            </w:pPr>
            <w:r/>
            <w:r>
              <w:rPr>
                <w:rFonts w:ascii="黑体" w:hAnsi="黑体" w:eastAsia="黑体"/>
                <w:b/>
                <w:color w:val="000000"/>
                <w:sz w:val="32"/>
              </w:rPr>
              <w:t>数值/状态</w:t>
            </w:r>
          </w:p>
        </w:tc>
        <w:tc>
          <w:tcPr>
            <w:tcW w:type="dxa" w:w="2948"/>
          </w:tcPr>
          <w:p>
            <w:pPr>
              <w:spacing w:lineRule="exact" w:line="600"/>
              <w:jc w:val="center"/>
            </w:pPr>
            <w:r/>
            <w:r>
              <w:rPr>
                <w:rFonts w:ascii="黑体" w:hAnsi="黑体" w:eastAsia="黑体"/>
                <w:b/>
                <w:color w:val="000000"/>
                <w:sz w:val="32"/>
              </w:rPr>
              <w:t>说明</w:t>
            </w:r>
          </w:p>
        </w:tc>
      </w:tr>
      <w:tr>
        <w:tc>
          <w:tcPr>
            <w:tcW w:type="dxa" w:w="2948"/>
          </w:tcPr>
          <w:p>
            <w:pPr>
              <w:spacing w:lineRule="exact" w:line="600"/>
              <w:jc w:val="center"/>
            </w:pPr>
            <w:r/>
            <w:r>
              <w:rPr>
                <w:rFonts w:ascii="仿宋_GB2312" w:hAnsi="仿宋_GB2312" w:eastAsia="仿宋_GB2312"/>
                <w:b w:val="0"/>
                <w:color w:val="000000"/>
                <w:sz w:val="32"/>
              </w:rPr>
              <w:t>注册资本</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以公示系统为准</w:t>
            </w:r>
          </w:p>
        </w:tc>
      </w:tr>
      <w:tr>
        <w:tc>
          <w:tcPr>
            <w:tcW w:type="dxa" w:w="2948"/>
          </w:tcPr>
          <w:p>
            <w:pPr>
              <w:spacing w:lineRule="exact" w:line="600"/>
              <w:jc w:val="center"/>
            </w:pPr>
            <w:r/>
            <w:r>
              <w:rPr>
                <w:rFonts w:ascii="仿宋_GB2312" w:hAnsi="仿宋_GB2312" w:eastAsia="仿宋_GB2312"/>
                <w:b w:val="0"/>
                <w:color w:val="000000"/>
                <w:sz w:val="32"/>
              </w:rPr>
              <w:t>实缴资本</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以公示系统为准</w:t>
            </w:r>
          </w:p>
        </w:tc>
      </w:tr>
      <w:tr>
        <w:tc>
          <w:tcPr>
            <w:tcW w:type="dxa" w:w="2948"/>
          </w:tcPr>
          <w:p>
            <w:pPr>
              <w:spacing w:lineRule="exact" w:line="600"/>
              <w:jc w:val="center"/>
            </w:pPr>
            <w:r/>
            <w:r>
              <w:rPr>
                <w:rFonts w:ascii="仿宋_GB2312" w:hAnsi="仿宋_GB2312" w:eastAsia="仿宋_GB2312"/>
                <w:b w:val="0"/>
                <w:color w:val="000000"/>
                <w:sz w:val="32"/>
              </w:rPr>
              <w:t>总资产</w:t>
            </w:r>
          </w:p>
        </w:tc>
        <w:tc>
          <w:tcPr>
            <w:tcW w:type="dxa" w:w="2948"/>
          </w:tcPr>
          <w:p>
            <w:pPr>
              <w:spacing w:lineRule="exact" w:line="600"/>
              <w:jc w:val="center"/>
            </w:pPr>
            <w:r/>
            <w:r>
              <w:rPr>
                <w:rFonts w:ascii="仿宋_GB2312" w:hAnsi="仿宋_GB2312" w:eastAsia="仿宋_GB2312"/>
                <w:b w:val="0"/>
                <w:color w:val="000000"/>
                <w:sz w:val="32"/>
              </w:rPr>
              <w:t>约8000万元</w:t>
            </w:r>
          </w:p>
        </w:tc>
        <w:tc>
          <w:tcPr>
            <w:tcW w:type="dxa" w:w="2948"/>
          </w:tcPr>
          <w:p>
            <w:pPr>
              <w:spacing w:lineRule="exact" w:line="600"/>
              <w:jc w:val="center"/>
            </w:pPr>
            <w:r/>
            <w:r>
              <w:rPr>
                <w:rFonts w:ascii="仿宋_GB2312" w:hAnsi="仿宋_GB2312" w:eastAsia="仿宋_GB2312"/>
                <w:b w:val="0"/>
                <w:color w:val="000000"/>
                <w:sz w:val="32"/>
              </w:rPr>
              <w:t>公开报道（非审计口径）</w:t>
            </w:r>
          </w:p>
        </w:tc>
      </w:tr>
      <w:tr>
        <w:tc>
          <w:tcPr>
            <w:tcW w:type="dxa" w:w="2948"/>
          </w:tcPr>
          <w:p>
            <w:pPr>
              <w:spacing w:lineRule="exact" w:line="600"/>
              <w:jc w:val="center"/>
            </w:pPr>
            <w:r/>
            <w:r>
              <w:rPr>
                <w:rFonts w:ascii="仿宋_GB2312" w:hAnsi="仿宋_GB2312" w:eastAsia="仿宋_GB2312"/>
                <w:b w:val="0"/>
                <w:color w:val="000000"/>
                <w:sz w:val="32"/>
              </w:rPr>
              <w:t>营业收入</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2024年销售收入</w:t>
            </w:r>
          </w:p>
        </w:tc>
        <w:tc>
          <w:tcPr>
            <w:tcW w:type="dxa" w:w="2948"/>
          </w:tcPr>
          <w:p>
            <w:pPr>
              <w:spacing w:lineRule="exact" w:line="600"/>
              <w:jc w:val="center"/>
            </w:pPr>
            <w:r/>
            <w:r>
              <w:rPr>
                <w:rFonts w:ascii="仿宋_GB2312" w:hAnsi="仿宋_GB2312" w:eastAsia="仿宋_GB2312"/>
                <w:b w:val="0"/>
                <w:color w:val="000000"/>
                <w:sz w:val="32"/>
              </w:rPr>
              <w:t>1.3亿元</w:t>
            </w:r>
          </w:p>
        </w:tc>
        <w:tc>
          <w:tcPr>
            <w:tcW w:type="dxa" w:w="2948"/>
          </w:tcPr>
          <w:p>
            <w:pPr>
              <w:spacing w:lineRule="exact" w:line="600"/>
              <w:jc w:val="center"/>
            </w:pPr>
            <w:r/>
            <w:r>
              <w:rPr>
                <w:rFonts w:ascii="仿宋_GB2312" w:hAnsi="仿宋_GB2312" w:eastAsia="仿宋_GB2312"/>
                <w:b w:val="0"/>
                <w:color w:val="000000"/>
                <w:sz w:val="32"/>
              </w:rPr>
              <w:t>企业经营/媒体口径</w:t>
            </w:r>
          </w:p>
        </w:tc>
      </w:tr>
      <w:tr>
        <w:tc>
          <w:tcPr>
            <w:tcW w:type="dxa" w:w="2948"/>
          </w:tcPr>
          <w:p>
            <w:pPr>
              <w:spacing w:lineRule="exact" w:line="600"/>
              <w:jc w:val="center"/>
            </w:pPr>
            <w:r/>
            <w:r>
              <w:rPr>
                <w:rFonts w:ascii="仿宋_GB2312" w:hAnsi="仿宋_GB2312" w:eastAsia="仿宋_GB2312"/>
                <w:b w:val="0"/>
                <w:color w:val="000000"/>
                <w:sz w:val="32"/>
              </w:rPr>
              <w:t>净利润</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资产负债率</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员工人数</w:t>
            </w:r>
          </w:p>
        </w:tc>
        <w:tc>
          <w:tcPr>
            <w:tcW w:type="dxa" w:w="2948"/>
          </w:tcPr>
          <w:p>
            <w:pPr>
              <w:spacing w:lineRule="exact" w:line="600"/>
              <w:jc w:val="center"/>
            </w:pPr>
            <w:r/>
            <w:r>
              <w:rPr>
                <w:rFonts w:ascii="仿宋_GB2312" w:hAnsi="仿宋_GB2312" w:eastAsia="仿宋_GB2312"/>
                <w:b w:val="0"/>
                <w:color w:val="000000"/>
                <w:sz w:val="32"/>
              </w:rPr>
              <w:t>70余人</w:t>
            </w:r>
          </w:p>
        </w:tc>
        <w:tc>
          <w:tcPr>
            <w:tcW w:type="dxa" w:w="2948"/>
          </w:tcPr>
          <w:p>
            <w:pPr>
              <w:spacing w:lineRule="exact" w:line="600"/>
              <w:jc w:val="center"/>
            </w:pPr>
            <w:r/>
            <w:r>
              <w:rPr>
                <w:rFonts w:ascii="仿宋_GB2312" w:hAnsi="仿宋_GB2312" w:eastAsia="仿宋_GB2312"/>
                <w:b w:val="0"/>
                <w:color w:val="000000"/>
                <w:sz w:val="32"/>
              </w:rPr>
              <w:t>公开报道</w:t>
            </w:r>
          </w:p>
        </w:tc>
      </w:tr>
    </w:tbl>
    <w:p>
      <w:pPr>
        <w:spacing w:lineRule="exact" w:line="600" w:before="0" w:after="0"/>
        <w:ind w:firstLine="420"/>
        <w:jc w:val="both"/>
      </w:pPr>
      <w:r>
        <w:rPr>
          <w:rFonts w:ascii="仿宋_GB2312" w:hAnsi="仿宋_GB2312" w:eastAsia="仿宋_GB2312"/>
          <w:b w:val="0"/>
          <w:color w:val="000000"/>
          <w:sz w:val="32"/>
        </w:rPr>
        <w:t>需特别说明的是，公开报道的总资产约8000万元属于非审计口径的企业宣传或媒体报道数据，与经审计财务报表可能存在差异。在授信审查中，应通过企业征信报告、银行流水、纳税申报表、资产评估报告等一手材料交叉验证真实资产规模与负债水平，避免简单采信宣传口径。</w:t>
      </w:r>
    </w:p>
    <w:p>
      <w:pPr>
        <w:spacing w:lineRule="exact" w:line="600" w:before="120" w:after="120"/>
        <w:ind w:firstLine="420"/>
        <w:jc w:val="left"/>
      </w:pPr>
      <w:r>
        <w:rPr>
          <w:rFonts w:ascii="楷体_GB2312" w:hAnsi="楷体_GB2312" w:eastAsia="楷体_GB2312"/>
          <w:b w:val="0"/>
          <w:color w:val="000000"/>
          <w:sz w:val="32"/>
        </w:rPr>
        <w:t>（三）盈利能力的定性判断</w:t>
      </w:r>
    </w:p>
    <w:p>
      <w:pPr>
        <w:spacing w:lineRule="exact" w:line="600" w:before="0" w:after="0"/>
        <w:ind w:firstLine="420"/>
        <w:jc w:val="both"/>
      </w:pPr>
      <w:r>
        <w:rPr>
          <w:rFonts w:ascii="仿宋_GB2312" w:hAnsi="仿宋_GB2312" w:eastAsia="仿宋_GB2312"/>
          <w:b w:val="0"/>
          <w:color w:val="000000"/>
          <w:sz w:val="32"/>
        </w:rPr>
        <w:t>从行业与企业特征综合判断，公司盈利能力应处于成武集群内中上水平，主要依据有三：其一，330KV高性能变压器量产后，产品电压等级与单位价值量显著提升，毛利空间较中低压产品明显拓宽；其二，公司为高新技术企业、专精特新企业，可享受所得税优惠并具备一定技术溢价；其三，数字化转型带来运营成本下降（报道运营成本降低11.76%、年节约成本超100万元），直接改善盈利质量。</w:t>
      </w:r>
    </w:p>
    <w:p>
      <w:pPr>
        <w:spacing w:lineRule="exact" w:line="600" w:before="0" w:after="0"/>
        <w:ind w:firstLine="420"/>
        <w:jc w:val="both"/>
      </w:pPr>
      <w:r>
        <w:rPr>
          <w:rFonts w:ascii="仿宋_GB2312" w:hAnsi="仿宋_GB2312" w:eastAsia="仿宋_GB2312"/>
          <w:b w:val="0"/>
          <w:color w:val="000000"/>
          <w:sz w:val="32"/>
        </w:rPr>
        <w:t>制约因素同样明显：变压器行业原材料成本占比高、价格随大宗商品波动；电网集中招标体制下价格竞争充分；公司作为成长型企业，研发投入与产线折旧形成的费用刚性在规模尚未完全释放时可能阶段性压制利润。</w:t>
      </w:r>
    </w:p>
    <w:p>
      <w:pPr>
        <w:spacing w:lineRule="exact" w:line="600" w:before="120" w:after="120"/>
        <w:ind w:firstLine="420"/>
        <w:jc w:val="left"/>
      </w:pPr>
      <w:r>
        <w:rPr>
          <w:rFonts w:ascii="楷体_GB2312" w:hAnsi="楷体_GB2312" w:eastAsia="楷体_GB2312"/>
          <w:b w:val="0"/>
          <w:color w:val="000000"/>
          <w:sz w:val="32"/>
        </w:rPr>
        <w:t>（四）偿债能力与流动性的定性判断</w:t>
      </w:r>
    </w:p>
    <w:p>
      <w:pPr>
        <w:spacing w:lineRule="exact" w:line="600" w:before="0" w:after="0"/>
        <w:ind w:firstLine="420"/>
        <w:jc w:val="both"/>
      </w:pPr>
      <w:r>
        <w:rPr>
          <w:rFonts w:ascii="仿宋_GB2312" w:hAnsi="仿宋_GB2312" w:eastAsia="仿宋_GB2312"/>
          <w:b w:val="0"/>
          <w:color w:val="000000"/>
          <w:sz w:val="32"/>
        </w:rPr>
        <w:t>公司总资产约8000万元、2024年销售收入1.3亿元，反映其资产与经营规模在县域制造企业中已具一定体量，但相较于达驰电气等龙头仍属中小体量，资本缓冲相对有限。变压器制造属于重营运资金行业：原材料需集中采购备货、产品按订单生产且周期较长、电网客户回款存在账期，三项因素叠加导致营运资金占用较大；2024年4.2亿元的新增产线投资更带来较大的资本开支与资金需求。</w:t>
      </w:r>
    </w:p>
    <w:p>
      <w:pPr>
        <w:spacing w:lineRule="exact" w:line="600" w:before="0" w:after="0"/>
        <w:ind w:firstLine="420"/>
        <w:jc w:val="both"/>
      </w:pPr>
      <w:r>
        <w:rPr>
          <w:rFonts w:ascii="仿宋_GB2312" w:hAnsi="仿宋_GB2312" w:eastAsia="仿宋_GB2312"/>
          <w:b w:val="0"/>
          <w:color w:val="000000"/>
          <w:sz w:val="32"/>
        </w:rPr>
        <w:t>在无法获取真实报表的情况下，建议通过以下方式对偿债能力进行穿透验证：一是调取企业近三年增值税纳税申报表与企业所得税年度汇算清缴报告，还原真实营收与利润规模；二是核查人民银行企业征信报告，掌握其在各金融机构的授信总量、用信余额、对外担保与还款记录；三是核查不动产登记与动产融资统一登记公示系统，确认厂房土地、生产设备是否已设定抵质押；四是核查用电、纳税等替代性数据，验证产能与经营真实性。</w:t>
      </w:r>
    </w:p>
    <w:p>
      <w:pPr>
        <w:spacing w:lineRule="exact" w:line="600" w:before="120" w:after="120"/>
        <w:ind w:firstLine="420"/>
        <w:jc w:val="left"/>
      </w:pPr>
      <w:r>
        <w:rPr>
          <w:rFonts w:ascii="楷体_GB2312" w:hAnsi="楷体_GB2312" w:eastAsia="楷体_GB2312"/>
          <w:b w:val="0"/>
          <w:color w:val="000000"/>
          <w:sz w:val="32"/>
        </w:rPr>
        <w:t>（五）涉诉与信用风险信息</w:t>
      </w:r>
    </w:p>
    <w:p>
      <w:pPr>
        <w:spacing w:lineRule="exact" w:line="600" w:before="0" w:after="0"/>
        <w:ind w:firstLine="420"/>
        <w:jc w:val="both"/>
      </w:pPr>
      <w:r>
        <w:rPr>
          <w:rFonts w:ascii="仿宋_GB2312" w:hAnsi="仿宋_GB2312" w:eastAsia="仿宋_GB2312"/>
          <w:b w:val="0"/>
          <w:color w:val="000000"/>
          <w:sz w:val="32"/>
        </w:rPr>
        <w:t>据天眼查等平台大数据统计，公司存在一定数量的天眼风险信息，具体案由与数量建议以国家企业信用信息公示系统及中国裁判文书网最新核查为准。考虑到公司成立时间较短、处于快速扩张期，建议在尽调中逐案核查涉诉案由与结果，重点关注是否涉及买卖合同货款纠纷、产品质量责任、劳动争议，以及是否存在被执行、失信被执行、限制高消费、股权冻结等严重负面记录，将企业征信与被执行信息作为授信准入的硬性核查项。</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投资或控股的有限责任公司，治理结构相对精简，决策效率高、市场反应快，有利于在330KV产线建设等战略机遇期快速决断。但也存在固有缺陷：一是缺少外部股东与独立董事的制衡，重大投资决策缺乏集体审议程序；二是公司财产与股东个人财产隔离度需通过财务制度审慎核查；三是缺乏外部专业监督，公司治理专业化程度受限。</w:t>
      </w:r>
    </w:p>
    <w:p>
      <w:pPr>
        <w:spacing w:lineRule="exact" w:line="600" w:before="0" w:after="0"/>
        <w:ind w:firstLine="420"/>
        <w:jc w:val="both"/>
      </w:pPr>
      <w:r>
        <w:rPr>
          <w:rFonts w:ascii="仿宋_GB2312" w:hAnsi="仿宋_GB2312" w:eastAsia="仿宋_GB2312"/>
          <w:b w:val="0"/>
          <w:color w:val="000000"/>
          <w:sz w:val="32"/>
        </w:rPr>
        <w:t>基于上述特点，在授信业务中应当要求公司提供年度财务会计报告并经会计师事务所审计，据此核查其财务独立性；同时应要求实际控制人提供无限连带责任保证，将公司信用与个人信用绑定。</w:t>
      </w:r>
    </w:p>
    <w:p>
      <w:pPr>
        <w:spacing w:lineRule="exact" w:line="600" w:before="120" w:after="120"/>
        <w:ind w:firstLine="420"/>
        <w:jc w:val="left"/>
      </w:pPr>
      <w:r>
        <w:rPr>
          <w:rFonts w:ascii="楷体_GB2312" w:hAnsi="楷体_GB2312" w:eastAsia="楷体_GB2312"/>
          <w:b w:val="0"/>
          <w:color w:val="000000"/>
          <w:sz w:val="32"/>
        </w:rPr>
        <w:t>（二）经营管理体系</w:t>
      </w:r>
    </w:p>
    <w:p>
      <w:pPr>
        <w:spacing w:lineRule="exact" w:line="600" w:before="0" w:after="0"/>
        <w:ind w:firstLine="420"/>
        <w:jc w:val="both"/>
      </w:pPr>
      <w:r>
        <w:rPr>
          <w:rFonts w:ascii="仿宋_GB2312" w:hAnsi="仿宋_GB2312" w:eastAsia="仿宋_GB2312"/>
          <w:b w:val="0"/>
          <w:color w:val="000000"/>
          <w:sz w:val="32"/>
        </w:rPr>
        <w:t>公司建立了以质量管理与数字化管理为核心的经营管理体系，通过试验中心实施全流程质量溯源，并借助ERP、数字孪生、可视化看板等系统实现生产透明化。这一体系对变压器这类关系电网安全运行的重大设备而言，既是市场准入要求，也是企业规避重大产品责任风险的基础保障。</w:t>
      </w:r>
    </w:p>
    <w:p>
      <w:pPr>
        <w:spacing w:lineRule="exact" w:line="600" w:before="0" w:after="0"/>
        <w:ind w:firstLine="420"/>
        <w:jc w:val="both"/>
      </w:pPr>
      <w:r>
        <w:rPr>
          <w:rFonts w:ascii="仿宋_GB2312" w:hAnsi="仿宋_GB2312" w:eastAsia="仿宋_GB2312"/>
          <w:b w:val="0"/>
          <w:color w:val="000000"/>
          <w:sz w:val="32"/>
        </w:rPr>
        <w:t>经营理念上，公司秉持"智改数转"战略，以科技创新为核心引擎，由总经理鲁志阳等管理层主导转型落地，形成了"管理层共识推动+校企合作引才+分阶段数字化改造"的务实推进路径，管理执行力在县域民企中较为突出。</w:t>
      </w:r>
    </w:p>
    <w:p>
      <w:pPr>
        <w:spacing w:lineRule="exact" w:line="600" w:before="120" w:after="120"/>
        <w:ind w:firstLine="420"/>
        <w:jc w:val="left"/>
      </w:pPr>
      <w:r>
        <w:rPr>
          <w:rFonts w:ascii="楷体_GB2312" w:hAnsi="楷体_GB2312" w:eastAsia="楷体_GB2312"/>
          <w:b w:val="0"/>
          <w:color w:val="000000"/>
          <w:sz w:val="32"/>
        </w:rPr>
        <w:t>（三）人力资源状况</w:t>
      </w:r>
    </w:p>
    <w:p>
      <w:pPr>
        <w:spacing w:lineRule="exact" w:line="600" w:before="0" w:after="0"/>
        <w:ind w:firstLine="420"/>
        <w:jc w:val="both"/>
      </w:pPr>
      <w:r>
        <w:rPr>
          <w:rFonts w:ascii="仿宋_GB2312" w:hAnsi="仿宋_GB2312" w:eastAsia="仿宋_GB2312"/>
          <w:b w:val="0"/>
          <w:color w:val="000000"/>
          <w:sz w:val="32"/>
        </w:rPr>
        <w:t>公司现有员工70余人，人员结构以生产操作工、研发技术人员、销售人员、质量与工程服务人员为主。作为国家级高新技术企业，公司具备一定的研发与技术人才储备，并通过校企合作、分阶段数字化技能培训引进与培养复合型人才。</w:t>
      </w:r>
    </w:p>
    <w:p>
      <w:pPr>
        <w:spacing w:lineRule="exact" w:line="600" w:before="0" w:after="0"/>
        <w:ind w:firstLine="420"/>
        <w:jc w:val="both"/>
      </w:pPr>
      <w:r>
        <w:rPr>
          <w:rFonts w:ascii="仿宋_GB2312" w:hAnsi="仿宋_GB2312" w:eastAsia="仿宋_GB2312"/>
          <w:b w:val="0"/>
          <w:color w:val="000000"/>
          <w:sz w:val="32"/>
        </w:rPr>
        <w:t>人力资源方面的主要挑战有三：一是县域区位对高层次研发人才、国际化营销人才的吸引力有限；二是智能产线对一线工人技能提出更高要求，人才结构与设备升级需同步匹配；三是快速扩张期用工规模与管理半径同步扩大，需关注劳动合规与团队稳定性。</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（一）区位与集群协同优势</w:t>
      </w:r>
    </w:p>
    <w:p>
      <w:pPr>
        <w:spacing w:lineRule="exact" w:line="600" w:before="0" w:after="0"/>
        <w:ind w:firstLine="420"/>
        <w:jc w:val="both"/>
      </w:pPr>
      <w:r>
        <w:rPr>
          <w:rFonts w:ascii="仿宋_GB2312" w:hAnsi="仿宋_GB2312" w:eastAsia="仿宋_GB2312"/>
          <w:b w:val="0"/>
          <w:color w:val="000000"/>
          <w:sz w:val="32"/>
        </w:rPr>
        <w:t>公司地处成武输变电装备产业集群，与达驰电气等龙头及137家中小微配套企业同处县域产业链生态，享有显著的集群协同红利：原材料与零部件可在半小时车程内配套，采购与协作成本低；作为省级特色产业集群与"雁阵形"集群成员，在项目建设、人才引进、展会支持、研发平台等方面可优先获得政府倾斜；"云电链"省级工业互联网平台更提供了数字化协同与订单对接的便利。</w:t>
      </w:r>
    </w:p>
    <w:p>
      <w:pPr>
        <w:spacing w:lineRule="exact" w:line="600" w:before="120" w:after="120"/>
        <w:ind w:firstLine="420"/>
        <w:jc w:val="left"/>
      </w:pPr>
      <w:r>
        <w:rPr>
          <w:rFonts w:ascii="楷体_GB2312" w:hAnsi="楷体_GB2312" w:eastAsia="楷体_GB2312"/>
          <w:b w:val="0"/>
          <w:color w:val="000000"/>
          <w:sz w:val="32"/>
        </w:rPr>
        <w:t>（二）高电压技术跃升优势</w:t>
      </w:r>
    </w:p>
    <w:p>
      <w:pPr>
        <w:spacing w:lineRule="exact" w:line="600" w:before="0" w:after="0"/>
        <w:ind w:firstLine="420"/>
        <w:jc w:val="both"/>
      </w:pPr>
      <w:r>
        <w:rPr>
          <w:rFonts w:ascii="仿宋_GB2312" w:hAnsi="仿宋_GB2312" w:eastAsia="仿宋_GB2312"/>
          <w:b w:val="0"/>
          <w:color w:val="000000"/>
          <w:sz w:val="32"/>
        </w:rPr>
        <w:t>公司2024年建成330KV高性能变压器量产能力，是成武集群内少数具备高电压等级整机制造能力的成长型企业。330KV等级对应更大的单机价值量、更高的技术壁垒与更广的工程项目覆盖，使公司得以从激烈的低压同质化竞争中突围，切入更高附加值的市场区间，构成其差异化竞争的核心。</w:t>
      </w:r>
    </w:p>
    <w:p>
      <w:pPr>
        <w:spacing w:lineRule="exact" w:line="600" w:before="120" w:after="120"/>
        <w:ind w:firstLine="420"/>
        <w:jc w:val="left"/>
      </w:pPr>
      <w:r>
        <w:rPr>
          <w:rFonts w:ascii="楷体_GB2312" w:hAnsi="楷体_GB2312" w:eastAsia="楷体_GB2312"/>
          <w:b w:val="0"/>
          <w:color w:val="000000"/>
          <w:sz w:val="32"/>
        </w:rPr>
        <w:t>（三）数字化与智能制造优势</w:t>
      </w:r>
    </w:p>
    <w:p>
      <w:pPr>
        <w:spacing w:lineRule="exact" w:line="600" w:before="0" w:after="0"/>
        <w:ind w:firstLine="420"/>
        <w:jc w:val="both"/>
      </w:pPr>
      <w:r>
        <w:rPr>
          <w:rFonts w:ascii="仿宋_GB2312" w:hAnsi="仿宋_GB2312" w:eastAsia="仿宋_GB2312"/>
          <w:b w:val="0"/>
          <w:color w:val="000000"/>
          <w:sz w:val="32"/>
        </w:rPr>
        <w:t>公司是成武县"智改数转"的标杆。ERP、数字孪生覆盖全流程，AGV机器人、智能仓储、可视化看板实现生产透明化，转型成效实打实：生产效率提升20%以上，产品不良率下降30%，运营成本降低11.76%，库存周转率提升30%以上，年节约成本超100万元，设备故障响应时间缩至15分钟，订单调整效率提升60%。数字化能力已成为其质量一致性与交付确定性的重要保障。</w:t>
      </w:r>
    </w:p>
    <w:p>
      <w:pPr>
        <w:spacing w:lineRule="exact" w:line="600" w:before="120" w:after="120"/>
        <w:ind w:firstLine="420"/>
        <w:jc w:val="left"/>
      </w:pPr>
      <w:r>
        <w:rPr>
          <w:rFonts w:ascii="楷体_GB2312" w:hAnsi="楷体_GB2312" w:eastAsia="楷体_GB2312"/>
          <w:b w:val="0"/>
          <w:color w:val="000000"/>
          <w:sz w:val="32"/>
        </w:rPr>
        <w:t>（四）专精特新与资质优势</w:t>
      </w:r>
    </w:p>
    <w:p>
      <w:pPr>
        <w:spacing w:lineRule="exact" w:line="600" w:before="0" w:after="0"/>
        <w:ind w:firstLine="420"/>
        <w:jc w:val="both"/>
      </w:pPr>
      <w:r>
        <w:rPr>
          <w:rFonts w:ascii="仿宋_GB2312" w:hAnsi="仿宋_GB2312" w:eastAsia="仿宋_GB2312"/>
          <w:b w:val="0"/>
          <w:color w:val="000000"/>
          <w:sz w:val="32"/>
        </w:rPr>
        <w:t>"国家级高新技术企业+省级专精特新+科技型中小企业"的资质组合，使公司在政府采购、工程配套与金融支持中具备政策倾斜优势，也为其争取银行授信、产业基金与山东投资等产业金融资本合作提供了信用加分与业务切入契机。</w:t>
      </w:r>
    </w:p>
    <w:p>
      <w:pPr>
        <w:spacing w:lineRule="exact" w:line="600" w:before="120" w:after="120"/>
        <w:ind w:firstLine="420"/>
        <w:jc w:val="left"/>
      </w:pPr>
      <w:r>
        <w:rPr>
          <w:rFonts w:ascii="楷体_GB2312" w:hAnsi="楷体_GB2312" w:eastAsia="楷体_GB2312"/>
          <w:b w:val="0"/>
          <w:color w:val="000000"/>
          <w:sz w:val="32"/>
        </w:rPr>
        <w:t>（五）竞争劣势与短板</w:t>
      </w:r>
    </w:p>
    <w:p>
      <w:pPr>
        <w:spacing w:lineRule="exact" w:line="600" w:before="0" w:after="0"/>
        <w:ind w:firstLine="420"/>
        <w:jc w:val="both"/>
      </w:pPr>
      <w:r>
        <w:rPr>
          <w:rFonts w:ascii="仿宋_GB2312" w:hAnsi="仿宋_GB2312" w:eastAsia="仿宋_GB2312"/>
          <w:b w:val="0"/>
          <w:color w:val="000000"/>
          <w:sz w:val="32"/>
        </w:rPr>
        <w:t>一是规模体量偏小。总资产约8000万元、员工70余人，与达驰电气等龙头差距明显，抗周期与承接特大订单能力有限。</w:t>
      </w:r>
    </w:p>
    <w:p>
      <w:pPr>
        <w:spacing w:lineRule="exact" w:line="600" w:before="0" w:after="0"/>
        <w:ind w:firstLine="420"/>
        <w:jc w:val="both"/>
      </w:pPr>
      <w:r>
        <w:rPr>
          <w:rFonts w:ascii="仿宋_GB2312" w:hAnsi="仿宋_GB2312" w:eastAsia="仿宋_GB2312"/>
          <w:b w:val="0"/>
          <w:color w:val="000000"/>
          <w:sz w:val="32"/>
        </w:rPr>
        <w:t>二是资本补充渠道单一。民营控股、无外部股东，缺乏股权与债券融资通道，4.2亿元产线投资的资金压力高度依赖银行信贷与自筹，融资约束可能制约扩产节奏。</w:t>
      </w:r>
    </w:p>
    <w:p>
      <w:pPr>
        <w:spacing w:lineRule="exact" w:line="600" w:before="0" w:after="0"/>
        <w:ind w:firstLine="420"/>
        <w:jc w:val="both"/>
      </w:pPr>
      <w:r>
        <w:rPr>
          <w:rFonts w:ascii="仿宋_GB2312" w:hAnsi="仿宋_GB2312" w:eastAsia="仿宋_GB2312"/>
          <w:b w:val="0"/>
          <w:color w:val="000000"/>
          <w:sz w:val="32"/>
        </w:rPr>
        <w:t>三是财务透明度不足。未经审计财务信息增加了金融机构的信息不对称成本，客观上抬高融资门槛与成本。</w:t>
      </w:r>
    </w:p>
    <w:p>
      <w:pPr>
        <w:spacing w:lineRule="exact" w:line="600" w:before="0" w:after="0"/>
        <w:ind w:firstLine="420"/>
        <w:jc w:val="both"/>
      </w:pPr>
      <w:r>
        <w:rPr>
          <w:rFonts w:ascii="仿宋_GB2312" w:hAnsi="仿宋_GB2312" w:eastAsia="仿宋_GB2312"/>
          <w:b w:val="0"/>
          <w:color w:val="000000"/>
          <w:sz w:val="32"/>
        </w:rPr>
        <w:t>四是客户集中度风险。对电网、高铁等重点工程的依赖，使其在招标价格波动与项目周期变化面前议价能力有限。</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（一）原材料价格波动风险</w:t>
      </w:r>
    </w:p>
    <w:p>
      <w:pPr>
        <w:spacing w:lineRule="exact" w:line="600" w:before="0" w:after="0"/>
        <w:ind w:firstLine="420"/>
        <w:jc w:val="both"/>
      </w:pPr>
      <w:r>
        <w:rPr>
          <w:rFonts w:ascii="仿宋_GB2312" w:hAnsi="仿宋_GB2312" w:eastAsia="仿宋_GB2312"/>
          <w:b w:val="0"/>
          <w:color w:val="000000"/>
          <w:sz w:val="32"/>
        </w:rPr>
        <w:t>公司主要原材料为取向硅钢、铜导体、绝缘材料等，成本占比高，价格随国际市场与宏观政策波动明显。公司作为中型采购方，缺乏期货套保与长协议价能力，成本传导存在时滞，价格上行期利润易被侵蚀。建议在授信方案中关注企业原材料备货策略与价格锁定机制，并将存货跌价风险纳入押品估值考量。</w:t>
      </w:r>
    </w:p>
    <w:p>
      <w:pPr>
        <w:spacing w:lineRule="exact" w:line="600" w:before="120" w:after="120"/>
        <w:ind w:firstLine="420"/>
        <w:jc w:val="left"/>
      </w:pPr>
      <w:r>
        <w:rPr>
          <w:rFonts w:ascii="楷体_GB2312" w:hAnsi="楷体_GB2312" w:eastAsia="楷体_GB2312"/>
          <w:b w:val="0"/>
          <w:color w:val="000000"/>
          <w:sz w:val="32"/>
        </w:rPr>
        <w:t>（二）产品质量与安全责任风险</w:t>
      </w:r>
    </w:p>
    <w:p>
      <w:pPr>
        <w:spacing w:lineRule="exact" w:line="600" w:before="0" w:after="0"/>
        <w:ind w:firstLine="420"/>
        <w:jc w:val="both"/>
      </w:pPr>
      <w:r>
        <w:rPr>
          <w:rFonts w:ascii="仿宋_GB2312" w:hAnsi="仿宋_GB2312" w:eastAsia="仿宋_GB2312"/>
          <w:b w:val="0"/>
          <w:color w:val="000000"/>
          <w:sz w:val="32"/>
        </w:rPr>
        <w:t>电力变压器直接关系电网安全运行，一旦发生质量事故，企业将面临民事赔偿、行政处罚乃至被列入供应商黑名单、丧失市场资格的严重后果。公司虽已建立试验中心与全流程质量溯源体系，但330KV高电压产品技术复杂、工况严苛，仍需重点关注设计验证、过程控制与运维质量，建议在贷前核查产品型式试验报告有效期与近年质量记录。</w:t>
      </w:r>
    </w:p>
    <w:p>
      <w:pPr>
        <w:spacing w:lineRule="exact" w:line="600" w:before="120" w:after="120"/>
        <w:ind w:firstLine="420"/>
        <w:jc w:val="left"/>
      </w:pPr>
      <w:r>
        <w:rPr>
          <w:rFonts w:ascii="楷体_GB2312" w:hAnsi="楷体_GB2312" w:eastAsia="楷体_GB2312"/>
          <w:b w:val="0"/>
          <w:color w:val="000000"/>
          <w:sz w:val="32"/>
        </w:rPr>
        <w:t>（三）产能释放与市场需求匹配风险</w:t>
      </w:r>
    </w:p>
    <w:p>
      <w:pPr>
        <w:spacing w:lineRule="exact" w:line="600" w:before="0" w:after="0"/>
        <w:ind w:firstLine="420"/>
        <w:jc w:val="both"/>
      </w:pPr>
      <w:r>
        <w:rPr>
          <w:rFonts w:ascii="仿宋_GB2312" w:hAnsi="仿宋_GB2312" w:eastAsia="仿宋_GB2312"/>
          <w:b w:val="0"/>
          <w:color w:val="000000"/>
          <w:sz w:val="32"/>
        </w:rPr>
        <w:t>公司4.2亿元新增投资对应的330KV产线，全部投产后预计年新增产值3亿元，产能实现数倍跃升。若下游高电压订单拓展不及预期、或行业高电压产能阶段性过剩，可能形成产能利用率不足、折旧与财务费用侵蚀利润的风险。建议动态跟踪其订单获取与产能利用率，将新增产线的实际产出作为授信后评价的关键指标。</w:t>
      </w:r>
    </w:p>
    <w:p>
      <w:pPr>
        <w:spacing w:lineRule="exact" w:line="600" w:before="120" w:after="120"/>
        <w:ind w:firstLine="420"/>
        <w:jc w:val="left"/>
      </w:pPr>
      <w:r>
        <w:rPr>
          <w:rFonts w:ascii="楷体_GB2312" w:hAnsi="楷体_GB2312" w:eastAsia="楷体_GB2312"/>
          <w:b w:val="0"/>
          <w:color w:val="000000"/>
          <w:sz w:val="32"/>
        </w:rPr>
        <w:t>（四）行业竞争与价格风险</w:t>
      </w:r>
    </w:p>
    <w:p>
      <w:pPr>
        <w:spacing w:lineRule="exact" w:line="600" w:before="0" w:after="0"/>
        <w:ind w:firstLine="420"/>
        <w:jc w:val="both"/>
      </w:pPr>
      <w:r>
        <w:rPr>
          <w:rFonts w:ascii="仿宋_GB2312" w:hAnsi="仿宋_GB2312" w:eastAsia="仿宋_GB2312"/>
          <w:b w:val="0"/>
          <w:color w:val="000000"/>
          <w:sz w:val="32"/>
        </w:rPr>
        <w:t>国内变压器行业中低端产能充裕、价格竞争充分。公司虽切入330KV高电压区间，但该领域同样吸引头部企业布局，竞争日趋激烈。若不能在产品质量、交付与成本上持续保持优势，可能面临价格挤压与份额波动。</w:t>
      </w:r>
    </w:p>
    <w:p>
      <w:pPr>
        <w:spacing w:lineRule="exact" w:line="600" w:before="120" w:after="120"/>
        <w:ind w:firstLine="420"/>
        <w:jc w:val="left"/>
      </w:pPr>
      <w:r>
        <w:rPr>
          <w:rFonts w:ascii="楷体_GB2312" w:hAnsi="楷体_GB2312" w:eastAsia="楷体_GB2312"/>
          <w:b w:val="0"/>
          <w:color w:val="000000"/>
          <w:sz w:val="32"/>
        </w:rPr>
        <w:t>（五）下游需求周期风险</w:t>
      </w:r>
    </w:p>
    <w:p>
      <w:pPr>
        <w:spacing w:lineRule="exact" w:line="600" w:before="0" w:after="0"/>
        <w:ind w:firstLine="420"/>
        <w:jc w:val="both"/>
      </w:pPr>
      <w:r>
        <w:rPr>
          <w:rFonts w:ascii="仿宋_GB2312" w:hAnsi="仿宋_GB2312" w:eastAsia="仿宋_GB2312"/>
          <w:b w:val="0"/>
          <w:color w:val="000000"/>
          <w:sz w:val="32"/>
        </w:rPr>
        <w:t>电网投资、新能源装机与基础设施建设的节奏直接决定变压器需求，存在年度波动。公司客户集中于电网与重大工程，需求周期波动将通过订单节奏传导至营收与回款，需关注宏观投资节奏对其增长的扰动。</w:t>
      </w:r>
    </w:p>
    <w:p>
      <w:pPr>
        <w:spacing w:lineRule="exact" w:line="600" w:before="120" w:after="120"/>
        <w:ind w:firstLine="420"/>
        <w:jc w:val="left"/>
      </w:pPr>
      <w:r>
        <w:rPr>
          <w:rFonts w:ascii="楷体_GB2312" w:hAnsi="楷体_GB2312" w:eastAsia="楷体_GB2312"/>
          <w:b w:val="0"/>
          <w:color w:val="000000"/>
          <w:sz w:val="32"/>
        </w:rPr>
        <w:t>（六）环保与安全生产合规风险</w:t>
      </w:r>
    </w:p>
    <w:p>
      <w:pPr>
        <w:spacing w:lineRule="exact" w:line="600" w:before="0" w:after="0"/>
        <w:ind w:firstLine="420"/>
        <w:jc w:val="both"/>
      </w:pPr>
      <w:r>
        <w:rPr>
          <w:rFonts w:ascii="仿宋_GB2312" w:hAnsi="仿宋_GB2312" w:eastAsia="仿宋_GB2312"/>
          <w:b w:val="0"/>
          <w:color w:val="000000"/>
          <w:sz w:val="32"/>
        </w:rPr>
        <w:t>变压器制造涉及绝缘油贮存、焊接、真空浇注等工序，存在有机废气、废油处置、消防安全等监管重点。若发生环保处罚或安全生产事故，将直接冲击订单交付与信用记录。建议在贷前实地核查排污许可、消防验收、安全生产标准化等级等合规文件。</w:t>
      </w:r>
    </w:p>
    <w:p>
      <w:pPr>
        <w:spacing w:lineRule="exact" w:line="600" w:before="120" w:after="120"/>
        <w:ind w:firstLine="420"/>
        <w:jc w:val="left"/>
      </w:pPr>
      <w:r>
        <w:rPr>
          <w:rFonts w:ascii="楷体_GB2312" w:hAnsi="楷体_GB2312" w:eastAsia="楷体_GB2312"/>
          <w:b w:val="0"/>
          <w:color w:val="000000"/>
          <w:sz w:val="32"/>
        </w:rPr>
        <w:t>（七）法律涉诉与关联风险</w:t>
      </w:r>
    </w:p>
    <w:p>
      <w:pPr>
        <w:spacing w:lineRule="exact" w:line="600" w:before="0" w:after="0"/>
        <w:ind w:firstLine="420"/>
        <w:jc w:val="both"/>
      </w:pPr>
      <w:r>
        <w:rPr>
          <w:rFonts w:ascii="仿宋_GB2312" w:hAnsi="仿宋_GB2312" w:eastAsia="仿宋_GB2312"/>
          <w:b w:val="0"/>
          <w:color w:val="000000"/>
          <w:sz w:val="32"/>
        </w:rPr>
        <w:t>公司处于快速扩张期，建议核查其涉诉案由、对外担保与关联交易情况，重点关注买卖合同货款纠纷、产品质量责任与劳动争议，以及是否存在被执行、失信、股权冻结等严重负面记录。同时核查实际控制人对外持股与担保，防范关联风险传染。</w:t>
      </w:r>
    </w:p>
    <w:p>
      <w:pPr>
        <w:spacing w:lineRule="exact" w:line="600" w:before="120" w:after="120"/>
        <w:ind w:firstLine="420"/>
        <w:jc w:val="left"/>
      </w:pPr>
      <w:r>
        <w:rPr>
          <w:rFonts w:ascii="楷体_GB2312" w:hAnsi="楷体_GB2312" w:eastAsia="楷体_GB2312"/>
          <w:b w:val="0"/>
          <w:color w:val="000000"/>
          <w:sz w:val="32"/>
        </w:rPr>
        <w:t>（八）资金链与扩张节奏风险</w:t>
      </w:r>
    </w:p>
    <w:p>
      <w:pPr>
        <w:spacing w:lineRule="exact" w:line="600" w:before="0" w:after="0"/>
        <w:ind w:firstLine="420"/>
        <w:jc w:val="both"/>
      </w:pPr>
      <w:r>
        <w:rPr>
          <w:rFonts w:ascii="仿宋_GB2312" w:hAnsi="仿宋_GB2312" w:eastAsia="仿宋_GB2312"/>
          <w:b w:val="0"/>
          <w:color w:val="000000"/>
          <w:sz w:val="32"/>
        </w:rPr>
        <w:t>4.2亿元产线投资规模远超公司当前资产体量（约8000万元），资金筹措与还本付息压力可观。若项目达产进度滞后、或银行授信收紧，可能引致资金链紧张。建议在授信方案中设置与产线达产、经营现金流挂钩的分期提款与还款安排，并监控其有息负债规模与融资成本变化。</w:t>
      </w:r>
    </w:p>
    <w:p>
      <w:pPr>
        <w:spacing w:lineRule="exact" w:line="600" w:before="120" w:after="120"/>
        <w:ind w:firstLine="420"/>
        <w:jc w:val="left"/>
      </w:pPr>
      <w:r>
        <w:rPr>
          <w:rFonts w:ascii="黑体" w:hAnsi="黑体" w:eastAsia="黑体"/>
          <w:b w:val="0"/>
          <w:color w:val="000000"/>
          <w:sz w:val="32"/>
        </w:rPr>
        <w:t>七、融资需求分析与山东投资业务协同建议</w:t>
      </w:r>
    </w:p>
    <w:p>
      <w:pPr>
        <w:spacing w:lineRule="exact" w:line="600" w:before="120" w:after="120"/>
        <w:ind w:firstLine="420"/>
        <w:jc w:val="left"/>
      </w:pPr>
      <w:r>
        <w:rPr>
          <w:rFonts w:ascii="楷体_GB2312" w:hAnsi="楷体_GB2312" w:eastAsia="楷体_GB2312"/>
          <w:b w:val="0"/>
          <w:color w:val="000000"/>
          <w:sz w:val="32"/>
        </w:rPr>
        <w:t>（一）企业融资需求的总体判断</w:t>
      </w:r>
    </w:p>
    <w:p>
      <w:pPr>
        <w:spacing w:lineRule="exact" w:line="600" w:before="0" w:after="0"/>
        <w:ind w:firstLine="420"/>
        <w:jc w:val="both"/>
      </w:pPr>
      <w:r>
        <w:rPr>
          <w:rFonts w:ascii="仿宋_GB2312" w:hAnsi="仿宋_GB2312" w:eastAsia="仿宋_GB2312"/>
          <w:b w:val="0"/>
          <w:color w:val="000000"/>
          <w:sz w:val="32"/>
        </w:rPr>
        <w:t>综合判断，公司当前的融资需求呈现"重资产扩产+营运资金"双重特征，且扩产投资的资金强度显著高于其现有资产体量。一方面，2024年新增4.2亿元330KV产线投资使资本开支陡增，项目从建设到达产需持续资金支持；另一方面，重资产、长周期、电网回款账期的行业属性，使原材料备货、在制品与应收账款形成刚性营运资金占用。考虑到公司总资产约8000万元、规模尚属中小，民营控股、资本补充渠道单一，其融资约束较为突出，对产业金融资本的需求迫切；但330KV技术跃升、专精特新资质与数字化能力，又使其具备承接综合金融服务的优质客户基础。业务方案设计须匹配其产线达产节奏，强化资产抵质押与实际控制人信用绑定。</w:t>
      </w:r>
    </w:p>
    <w:p>
      <w:pPr>
        <w:spacing w:lineRule="exact" w:line="600" w:before="120" w:after="120"/>
        <w:ind w:firstLine="420"/>
        <w:jc w:val="left"/>
      </w:pPr>
      <w:r>
        <w:rPr>
          <w:rFonts w:ascii="楷体_GB2312" w:hAnsi="楷体_GB2312" w:eastAsia="楷体_GB2312"/>
          <w:b w:val="0"/>
          <w:color w:val="000000"/>
          <w:sz w:val="32"/>
        </w:rPr>
        <w:t>（二）商业保理业务切入建议</w:t>
      </w:r>
    </w:p>
    <w:p>
      <w:pPr>
        <w:spacing w:lineRule="exact" w:line="600" w:before="0" w:after="0"/>
        <w:ind w:firstLine="420"/>
        <w:jc w:val="both"/>
      </w:pPr>
      <w:r>
        <w:rPr>
          <w:rFonts w:ascii="仿宋_GB2312" w:hAnsi="仿宋_GB2312" w:eastAsia="仿宋_GB2312"/>
          <w:b w:val="0"/>
          <w:color w:val="000000"/>
          <w:sz w:val="32"/>
        </w:rPr>
        <w:t>商业保理是与公司业务模式匹配的产品。公司下游客户以国家电网、南方电网、高铁及大型工程总包方为主，普遍存在3至12个月账期，形成规模可观的优质应收账款。可开展以电网公司及大型工程方为付款人的有追索权保理，付款方资信优良、回款保障度高；针对出口或跨区域业务，可结合订单与物流凭证开展保理，帮助企业提前回笼资金、缩短现金循环周期，缓解扩产期的资金压力。</w:t>
      </w:r>
    </w:p>
    <w:p>
      <w:pPr>
        <w:spacing w:lineRule="exact" w:line="600" w:before="0" w:after="0"/>
        <w:ind w:firstLine="420"/>
        <w:jc w:val="both"/>
      </w:pPr>
      <w:r>
        <w:rPr>
          <w:rFonts w:ascii="仿宋_GB2312" w:hAnsi="仿宋_GB2312" w:eastAsia="仿宋_GB2312"/>
          <w:b w:val="0"/>
          <w:color w:val="000000"/>
          <w:sz w:val="32"/>
        </w:rPr>
        <w:t>操作要点上，建议优先选择应收账款确权清晰、付款方资信良好的核心客户订单开展有追索权保理，首期额度以企业上年度对该客户结算额的三至五成为宜，账期匹配真实回款周期并预留缓冲。同步要求企业提供近三年销售台账、增值税发票、出库单与对账单，建立"合同—发票—物流—回款"四流合一的验证机制，防范虚假贸易、重复融资与关联方虚构交易风险。对于向国家电网、南方电网及高铁等重点工程供货形成的应收账款，还须核查是否已在其他机构办理过质押或保理，避免权属瑕疵与多头融资。</w:t>
      </w:r>
    </w:p>
    <w:p>
      <w:pPr>
        <w:spacing w:lineRule="exact" w:line="600" w:before="120" w:after="120"/>
        <w:ind w:firstLine="420"/>
        <w:jc w:val="left"/>
      </w:pPr>
      <w:r>
        <w:rPr>
          <w:rFonts w:ascii="楷体_GB2312" w:hAnsi="楷体_GB2312" w:eastAsia="楷体_GB2312"/>
          <w:b w:val="0"/>
          <w:color w:val="000000"/>
          <w:sz w:val="32"/>
        </w:rPr>
        <w:t>（三）供应链金融业务切入建议</w:t>
      </w:r>
    </w:p>
    <w:p>
      <w:pPr>
        <w:spacing w:lineRule="exact" w:line="600" w:before="0" w:after="0"/>
        <w:ind w:firstLine="420"/>
        <w:jc w:val="both"/>
      </w:pPr>
      <w:r>
        <w:rPr>
          <w:rFonts w:ascii="仿宋_GB2312" w:hAnsi="仿宋_GB2312" w:eastAsia="仿宋_GB2312"/>
          <w:b w:val="0"/>
          <w:color w:val="000000"/>
          <w:sz w:val="32"/>
        </w:rPr>
        <w:t>供应链金融方面，公司作为成武集群骨干，向上游电磁线、硅钢、绝缘材料供应商大批量采购，向下游配套与工程服务商输出订单，具备构建产业链金融的天然条件。可依托"云电链"平台与龙头企业订单数据，设计"核心企业+配套企业"的信用穿透方案，服务集群普惠。</w:t>
      </w:r>
    </w:p>
    <w:p>
      <w:pPr>
        <w:spacing w:lineRule="exact" w:line="600" w:before="0" w:after="0"/>
        <w:ind w:firstLine="420"/>
        <w:jc w:val="both"/>
      </w:pPr>
      <w:r>
        <w:rPr>
          <w:rFonts w:ascii="仿宋_GB2312" w:hAnsi="仿宋_GB2312" w:eastAsia="仿宋_GB2312"/>
          <w:b w:val="0"/>
          <w:color w:val="000000"/>
          <w:sz w:val="32"/>
        </w:rPr>
        <w:t>建议采取"1+N"模式：向上围绕取向硅钢、铜铝导体、绝缘材料、电磁线等大宗原材料采购环节提供订单融资与预付款融资，帮助企业在价格低位集中锁价备货，平抑成本波动；向下围绕县域内中小微企业、经销商与工程服务商提供应收账款池融资与电子债权凭证流转服务。鉴于成武输变电集群配套企业数量众多、单户体量偏小，建议与成武县政府、"云电链"平台运营方及行业商协会合作，以园区白名单、集群整体授信方式降低单户尽调成本，提升业务的可复制性与规模效应。</w:t>
      </w:r>
    </w:p>
    <w:p>
      <w:pPr>
        <w:spacing w:lineRule="exact" w:line="600" w:before="120" w:after="120"/>
        <w:ind w:firstLine="420"/>
        <w:jc w:val="left"/>
      </w:pPr>
      <w:r>
        <w:rPr>
          <w:rFonts w:ascii="楷体_GB2312" w:hAnsi="楷体_GB2312" w:eastAsia="楷体_GB2312"/>
          <w:b w:val="0"/>
          <w:color w:val="000000"/>
          <w:sz w:val="32"/>
        </w:rPr>
        <w:t>（四）融资租赁业务切入建议</w:t>
      </w:r>
    </w:p>
    <w:p>
      <w:pPr>
        <w:spacing w:lineRule="exact" w:line="600" w:before="0" w:after="0"/>
        <w:ind w:firstLine="420"/>
        <w:jc w:val="both"/>
      </w:pPr>
      <w:r>
        <w:rPr>
          <w:rFonts w:ascii="仿宋_GB2312" w:hAnsi="仿宋_GB2312" w:eastAsia="仿宋_GB2312"/>
          <w:b w:val="0"/>
          <w:color w:val="000000"/>
          <w:sz w:val="32"/>
        </w:rPr>
        <w:t>融资租赁可重点服务于公司的智能化产线建设。公司引进的激光切割、立式绕线机、真空浇注、AGV、高压试验设备等多为标准化程度较高、二手交易相对活跃的设备，可采用直租或售后回租方式，租期三至五年，将租金与设备产生的现金流匹配，既缓解4.2亿元产线投资的一次性资金压力，又不过度占用银行授信额度；售后回租还可盘活存量设备、补充流动资金。</w:t>
      </w:r>
    </w:p>
    <w:p>
      <w:pPr>
        <w:spacing w:lineRule="exact" w:line="600" w:before="0" w:after="0"/>
        <w:ind w:firstLine="420"/>
        <w:jc w:val="both"/>
      </w:pPr>
      <w:r>
        <w:rPr>
          <w:rFonts w:ascii="仿宋_GB2312" w:hAnsi="仿宋_GB2312" w:eastAsia="仿宋_GB2312"/>
          <w:b w:val="0"/>
          <w:color w:val="000000"/>
          <w:sz w:val="32"/>
        </w:rPr>
        <w:t>融资租赁应重点关注租赁物的通用性与处置价值。对绕线机、真空浇注设备、数控冲剪设备、箔式绕线机、干燥罐、试验变压器、高压试验设备等标准化程度较高、二手交易相对活跃的设备，可采用直租或售后回租方式，租期建议三至五年，首付比例与保证金依企业资信分档设定；对高度定制化的专用工装、非标智能产线，则应审慎评估，必要时追加担保、提高首付比例或引入厂商回购承诺。</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小额贷款业务可覆盖其周边配套中小微业户，以及企业自身的短频快资金需求（旺季备货、临时用工、订单赶工）。建议单户额度五十万元至一千万元，期限六个月至一年，采用"信用+保证+订单质押"组合增信，借助核心企业推荐名单与纳税用电数据构建准入模型，实现批量获客。</w:t>
      </w:r>
    </w:p>
    <w:p>
      <w:pPr>
        <w:spacing w:lineRule="exact" w:line="600" w:before="0" w:after="0"/>
        <w:ind w:firstLine="420"/>
        <w:jc w:val="both"/>
      </w:pPr>
      <w:r>
        <w:rPr>
          <w:rFonts w:ascii="仿宋_GB2312" w:hAnsi="仿宋_GB2312" w:eastAsia="仿宋_GB2312"/>
          <w:b w:val="0"/>
          <w:color w:val="000000"/>
          <w:sz w:val="32"/>
        </w:rPr>
        <w:t>小额贷款可作为覆盖集群内中小配套业户的"毛细血管"型产品，重点解决旺季备货、临时性用工、订单赶工、设备小修等短频快资金需求。建议单户额度控制在五十万元至一千万元区间，期限以六个月至一年为主，采用"信用+保证+订单质押"的组合增信方式，并借助核心企业推荐名单、县域产业白名单、纳税与用电数据构建准入模型，实现批量获客与风险分层定价。</w:t>
      </w:r>
    </w:p>
    <w:p>
      <w:pPr>
        <w:spacing w:lineRule="exact" w:line="600" w:before="120" w:after="120"/>
        <w:ind w:firstLine="420"/>
        <w:jc w:val="left"/>
      </w:pPr>
      <w:r>
        <w:rPr>
          <w:rFonts w:ascii="楷体_GB2312" w:hAnsi="楷体_GB2312" w:eastAsia="楷体_GB2312"/>
          <w:b w:val="0"/>
          <w:color w:val="000000"/>
          <w:sz w:val="32"/>
        </w:rPr>
        <w:t>（六）综合服务与风险控制建议</w:t>
      </w:r>
    </w:p>
    <w:p>
      <w:pPr>
        <w:spacing w:lineRule="exact" w:line="600" w:before="0" w:after="0"/>
        <w:ind w:firstLine="420"/>
        <w:jc w:val="both"/>
      </w:pPr>
      <w:r>
        <w:rPr>
          <w:rFonts w:ascii="仿宋_GB2312" w:hAnsi="仿宋_GB2312" w:eastAsia="仿宋_GB2312"/>
          <w:b w:val="0"/>
          <w:color w:val="000000"/>
          <w:sz w:val="32"/>
        </w:rPr>
        <w:t>风险控制方面，建议构建"主体信用+交易信用+资产信用"三层防线。主体层面，要求提供经审计年度财务会计报告、近三年纳税申报表、征信报告，并核查4.2亿元产线投资的资金来源与偿债安排，要求实际控制人及配偶连带责任保证；交易层面，实行"四流合一"核验，比对增值税发票、物流单据与回款账户，并对回款账户实施监管；资产层面，对租赁物与抵质押设备办理规范登记，监控设备权属与处置价值。同时建议将产线达产率、用电与纳税数据、涉诉与被执行信息作为贷后动态预警指标，实现风险的早识别、早处置。</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迅驰电气有限公司是山东菏泽成武（输变电装备）特色产业集群中快速崛起的骨干成长型企业。公司成立于2016年前后，总资产约8000万元、员工70余人，是国家高新技术企业、省级专精特新企业与科技型中小企业；2024年新增投资4.2亿元建成330KV高性能变压器量产能力，当年实现销售收入1.3亿元，并通过"智改数转"实现生产效率提升20%以上、不良率下降30%、年节约成本超100万元。总体评价为：技术跃升迅速、数字化能力突出、专精特新资质完备、成长性好，属于集群内最具潜力的优质成长型客户。</w:t>
      </w:r>
    </w:p>
    <w:p>
      <w:pPr>
        <w:spacing w:lineRule="exact" w:line="600" w:before="0" w:after="0"/>
        <w:ind w:firstLine="420"/>
        <w:jc w:val="both"/>
      </w:pPr>
      <w:r>
        <w:rPr>
          <w:rFonts w:ascii="仿宋_GB2312" w:hAnsi="仿宋_GB2312" w:eastAsia="仿宋_GB2312"/>
          <w:b w:val="0"/>
          <w:color w:val="000000"/>
          <w:sz w:val="32"/>
        </w:rPr>
        <w:t>同时必须清醒认识其局限：资产与营收规模仍偏小，抗周期与承接特大订单能力有限；财务信息未公开审计，信息不对称成本较高；4.2亿元产线投资强度远超现有资产体量，资金链与达产节奏风险需重点管控；对电网等重点工程的客户集中依赖使其面临招标价格波动与需求周期扰动。</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短期看（1至2年），公司的核心机遇在于330KV产线的全面达产与订单获取。新产线全部投产后预计年新增产值3亿元，使其营收体量实现数倍跃升；公司明确提出一季度"突破1.3亿元"目标，在输变电赛道加速奔跑。</w:t>
      </w:r>
    </w:p>
    <w:p>
      <w:pPr>
        <w:spacing w:lineRule="exact" w:line="600" w:before="0" w:after="0"/>
        <w:ind w:firstLine="420"/>
        <w:jc w:val="both"/>
      </w:pPr>
      <w:r>
        <w:rPr>
          <w:rFonts w:ascii="仿宋_GB2312" w:hAnsi="仿宋_GB2312" w:eastAsia="仿宋_GB2312"/>
          <w:b w:val="0"/>
          <w:color w:val="000000"/>
          <w:sz w:val="32"/>
        </w:rPr>
        <w:t>中期看（3至5年），成武"输变配储"一体四面产业链格局与"云电链"平台的持续赋能，将降低公司配套与获客成本；若330KV产品在高电压等级市场稳固立足，公司有望成长为集群内仅次于达驰的第二梯队整机制造龙头。</w:t>
      </w:r>
    </w:p>
    <w:p>
      <w:pPr>
        <w:spacing w:lineRule="exact" w:line="600" w:before="0" w:after="0"/>
        <w:ind w:firstLine="420"/>
        <w:jc w:val="both"/>
      </w:pPr>
      <w:r>
        <w:rPr>
          <w:rFonts w:ascii="仿宋_GB2312" w:hAnsi="仿宋_GB2312" w:eastAsia="仿宋_GB2312"/>
          <w:b w:val="0"/>
          <w:color w:val="000000"/>
          <w:sz w:val="32"/>
        </w:rPr>
        <w:t>长期看，新型电力系统建设、新能源并网与AI数据中心用电将持续拉动高效节能与高电压变压器需求。若公司能在产品质量一致性与成本管控上保持优势，并借助专精特新与资本合作补齐资金短板，将获得可持续的增长空间。</w:t>
      </w:r>
    </w:p>
    <w:p>
      <w:pPr>
        <w:spacing w:lineRule="exact" w:line="600" w:before="120" w:after="120"/>
        <w:ind w:firstLine="420"/>
        <w:jc w:val="left"/>
      </w:pPr>
      <w:r>
        <w:rPr>
          <w:rFonts w:ascii="楷体_GB2312" w:hAnsi="楷体_GB2312" w:eastAsia="楷体_GB2312"/>
          <w:b w:val="0"/>
          <w:color w:val="000000"/>
          <w:sz w:val="32"/>
        </w:rPr>
        <w:t>（三）对企业的发展建议</w:t>
      </w:r>
    </w:p>
    <w:p>
      <w:pPr>
        <w:spacing w:lineRule="exact" w:line="600" w:before="0" w:after="0"/>
        <w:ind w:firstLine="420"/>
        <w:jc w:val="both"/>
      </w:pPr>
      <w:r>
        <w:rPr>
          <w:rFonts w:ascii="仿宋_GB2312" w:hAnsi="仿宋_GB2312" w:eastAsia="仿宋_GB2312"/>
          <w:b w:val="0"/>
          <w:color w:val="000000"/>
          <w:sz w:val="32"/>
        </w:rPr>
        <w:t>第一，加快财务规范化建设。建议尽早引入专业会计师事务所开展年度审计，建立符合企业会计准则的核算体系，为银行授信与未来资本运作奠定信息基础，财务透明度的提升本身即可显著降低融资成本。</w:t>
      </w:r>
    </w:p>
    <w:p>
      <w:pPr>
        <w:spacing w:lineRule="exact" w:line="600" w:before="0" w:after="0"/>
        <w:ind w:firstLine="420"/>
        <w:jc w:val="both"/>
      </w:pPr>
      <w:r>
        <w:rPr>
          <w:rFonts w:ascii="仿宋_GB2312" w:hAnsi="仿宋_GB2312" w:eastAsia="仿宋_GB2312"/>
          <w:b w:val="0"/>
          <w:color w:val="000000"/>
          <w:sz w:val="32"/>
        </w:rPr>
        <w:t>第二，稳妥管控扩产节奏与资金链。建议对4.2亿元产线投资制定分阶段的资金计划与达产路线图，引入融资租赁、产业基金等多元资本，避免过度依赖单一银行信贷，平滑还本付息压力。</w:t>
      </w:r>
    </w:p>
    <w:p>
      <w:pPr>
        <w:spacing w:lineRule="exact" w:line="600" w:before="0" w:after="0"/>
        <w:ind w:firstLine="420"/>
        <w:jc w:val="both"/>
      </w:pPr>
      <w:r>
        <w:rPr>
          <w:rFonts w:ascii="仿宋_GB2312" w:hAnsi="仿宋_GB2312" w:eastAsia="仿宋_GB2312"/>
          <w:b w:val="0"/>
          <w:color w:val="000000"/>
          <w:sz w:val="32"/>
        </w:rPr>
        <w:t>第三，持续强化研发与质量。建议围绕330KV及更高电压等级、高效节能变压器方向深化与沈阳变压器研究院、青岛科技大学等院校的联合攻关，巩固技术壁垒。</w:t>
      </w:r>
    </w:p>
    <w:p>
      <w:pPr>
        <w:spacing w:lineRule="exact" w:line="600" w:before="0" w:after="0"/>
        <w:ind w:firstLine="420"/>
        <w:jc w:val="both"/>
      </w:pPr>
      <w:r>
        <w:rPr>
          <w:rFonts w:ascii="仿宋_GB2312" w:hAnsi="仿宋_GB2312" w:eastAsia="仿宋_GB2312"/>
          <w:b w:val="0"/>
          <w:color w:val="000000"/>
          <w:sz w:val="32"/>
        </w:rPr>
        <w:t>第四，优化客户结构。在巩固电网、高铁客户的同时，适度拓展新能源电站、工矿企业、海外等多元市场，降低单一客户集中带来的周期风险。</w:t>
      </w:r>
    </w:p>
    <w:p>
      <w:pPr>
        <w:spacing w:lineRule="exact" w:line="600" w:before="120" w:after="120"/>
        <w:ind w:firstLine="420"/>
        <w:jc w:val="left"/>
      </w:pPr>
      <w:r>
        <w:rPr>
          <w:rFonts w:ascii="楷体_GB2312" w:hAnsi="楷体_GB2312" w:eastAsia="楷体_GB2312"/>
          <w:b w:val="0"/>
          <w:color w:val="000000"/>
          <w:sz w:val="32"/>
        </w:rPr>
        <w:t>（四）对山东投资开展合作的建议</w:t>
      </w:r>
    </w:p>
    <w:p>
      <w:pPr>
        <w:spacing w:lineRule="exact" w:line="600" w:before="0" w:after="0"/>
        <w:ind w:firstLine="420"/>
        <w:jc w:val="both"/>
      </w:pPr>
      <w:r>
        <w:rPr>
          <w:rFonts w:ascii="仿宋_GB2312" w:hAnsi="仿宋_GB2312" w:eastAsia="仿宋_GB2312"/>
          <w:b w:val="0"/>
          <w:color w:val="000000"/>
          <w:sz w:val="32"/>
        </w:rPr>
        <w:t>第一，建议将公司列为成武输变电集群的重点成长型储备客户，按照"资产切入、由点及面"的路径推进：首期以设备融资租赁（匹配4.2亿元产线）与电网应收账款保理作为切入产品，单笔规模控制在1000万元至5000万元区间，通过一至两个业务周期检验其履约能力与配合度，再逐步扩大合作规模、导入供应链金融。</w:t>
      </w:r>
    </w:p>
    <w:p>
      <w:pPr>
        <w:spacing w:lineRule="exact" w:line="600" w:before="0" w:after="0"/>
        <w:ind w:firstLine="420"/>
        <w:jc w:val="both"/>
      </w:pPr>
      <w:r>
        <w:rPr>
          <w:rFonts w:ascii="仿宋_GB2312" w:hAnsi="仿宋_GB2312" w:eastAsia="仿宋_GB2312"/>
          <w:b w:val="0"/>
          <w:color w:val="000000"/>
          <w:sz w:val="32"/>
        </w:rPr>
        <w:t>第二，建议将融资租赁作为核心抓手。公司智能化产线设备标准化程度高、二手处置价值较好，与其重资产扩产的资金需求高度契合，可优先以直租支持新产线、以售后回租盘活存量，实现"融资+融物"的风险闭环。</w:t>
      </w:r>
    </w:p>
    <w:p>
      <w:pPr>
        <w:spacing w:lineRule="exact" w:line="600" w:before="0" w:after="0"/>
        <w:ind w:firstLine="420"/>
        <w:jc w:val="both"/>
      </w:pPr>
      <w:r>
        <w:rPr>
          <w:rFonts w:ascii="仿宋_GB2312" w:hAnsi="仿宋_GB2312" w:eastAsia="仿宋_GB2312"/>
          <w:b w:val="0"/>
          <w:color w:val="000000"/>
          <w:sz w:val="32"/>
        </w:rPr>
        <w:t>第三，建议依托"云电链"平台与集群白名单，设计以迅驰电气为核心企业的配套企业金融服务方案，低成本批量获取优质小微客户，实现单户风险分散与整体规模效应的统一。</w:t>
      </w:r>
    </w:p>
    <w:p>
      <w:pPr>
        <w:spacing w:lineRule="exact" w:line="600" w:before="0" w:after="0"/>
        <w:ind w:firstLine="420"/>
        <w:jc w:val="both"/>
      </w:pPr>
      <w:r>
        <w:rPr>
          <w:rFonts w:ascii="仿宋_GB2312" w:hAnsi="仿宋_GB2312" w:eastAsia="仿宋_GB2312"/>
          <w:b w:val="0"/>
          <w:color w:val="000000"/>
          <w:sz w:val="32"/>
        </w:rPr>
        <w:t>第四，建议将风险防控关口前移，建立以"税、电、关、诉、保"为核心的替代性风险评估模型，重点监控其产线达产率、有息负债规模与融资成本变化，将实际控制人个人征信、对外担保、涉诉与被执行情况纳入统一监控，实现对成长型民营制造企业的有效风险识别。</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工商登记信息：国家企业信用信息公示系统，天眼查、企查查、启信宝、Wind企业库公开披露的登记备案信息，含统一社会信用代码、成立日期、注册资本、实缴资本、登记机关、经营范围、参保人数、股权结构等字段。</w:t>
      </w:r>
    </w:p>
    <w:p>
      <w:pPr>
        <w:spacing w:lineRule="exact" w:line="600" w:before="0" w:after="0"/>
        <w:jc w:val="left"/>
      </w:pPr>
      <w:r>
        <w:rPr>
          <w:rFonts w:ascii="仿宋_GB2312" w:hAnsi="仿宋_GB2312" w:eastAsia="仿宋_GB2312"/>
          <w:b w:val="0"/>
          <w:color w:val="000000"/>
          <w:sz w:val="28"/>
        </w:rPr>
        <w:t>2．企业自主披露信息：山东迅驰电气有限公司公开宣传资料、企业接受媒体采访与参与行业展会内容。</w:t>
      </w:r>
    </w:p>
    <w:p>
      <w:pPr>
        <w:spacing w:lineRule="exact" w:line="600" w:before="0" w:after="0"/>
        <w:jc w:val="left"/>
      </w:pPr>
      <w:r>
        <w:rPr>
          <w:rFonts w:ascii="仿宋_GB2312" w:hAnsi="仿宋_GB2312" w:eastAsia="仿宋_GB2312"/>
          <w:b w:val="0"/>
          <w:color w:val="000000"/>
          <w:sz w:val="28"/>
        </w:rPr>
        <w:t>3．政府公开信息：菏泽市人民政府、成武县人民政府、菏泽日报、菏泽广电网、齐鲁网·闪电新闻等官方渠道对成武输变电装备产业集群及迅驰电气"智改数转"、330KV产线建设的公开报道。</w:t>
      </w:r>
    </w:p>
    <w:p>
      <w:pPr>
        <w:spacing w:lineRule="exact" w:line="600" w:before="0" w:after="0"/>
        <w:jc w:val="left"/>
      </w:pPr>
      <w:r>
        <w:rPr>
          <w:rFonts w:ascii="仿宋_GB2312" w:hAnsi="仿宋_GB2312" w:eastAsia="仿宋_GB2312"/>
          <w:b w:val="0"/>
          <w:color w:val="000000"/>
          <w:sz w:val="28"/>
        </w:rPr>
        <w:t>4．权威媒体报道：菏泽日报《以钢筋铁骨挺起高质量发展脊梁》（成武县输变电集群报道）、菏泽日报·今日成武《数智为翼 绿色为帆》（2026年2月10日）、齐鲁网·闪电新闻《山东成武：企业持续增资扩产》（2025年3月9日）等。</w:t>
      </w:r>
    </w:p>
    <w:p>
      <w:pPr>
        <w:spacing w:lineRule="exact" w:line="600" w:before="0" w:after="0"/>
        <w:jc w:val="left"/>
      </w:pPr>
      <w:r>
        <w:rPr>
          <w:rFonts w:ascii="仿宋_GB2312" w:hAnsi="仿宋_GB2312" w:eastAsia="仿宋_GB2312"/>
          <w:b w:val="0"/>
          <w:color w:val="000000"/>
          <w:sz w:val="28"/>
        </w:rPr>
        <w:t>5．本报告统计时点截至2026年8月。公司为非上市有限责任公司，未公开披露经审计的定期财务报告。凡涉及营业收入、利润、资产负债等财务指标之处，除公开报道的"销售收入""产值"等企业自主宣传口径外，均如实标注"财务数据未公开披露"，不作任何估算与推断；公开报道中的"销售收入""产值"系企业经营口径，与经审计营业收入并非同一概念，引用时已予区分。各渠道对员工人数、资产规模、产能等指标的表述存在口径与时点差异，本报告已在正文中并列注明，实际合作前应以企业提供的审计报告、纳税申报表、征信报告等一手材料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