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山东菏泽牡丹区（绿色休闲食品）特色产业集群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山东佳美食品工业有限公司企业分析报告</w:t>
      </w:r>
    </w:p>
    <w:p>
      <w:pPr>
        <w:spacing w:lineRule="exact" w:line="600" w:before="0" w:after="0"/>
        <w:jc w:val="left"/>
      </w:pPr>
      <w:r>
        <w:rPr>
          <w:rFonts w:ascii="仿宋_GB2312" w:hAnsi="仿宋_GB2312" w:eastAsia="仿宋_GB2312"/>
          <w:b w:val="0"/>
          <w:color w:val="000000"/>
          <w:sz w:val="28"/>
        </w:rPr>
        <w:t>（本报告数据来源于菏泽日报、牡丹晚报、菏泽政府网、百度百科及企业公开报道等公开渠道，统计时点截至2025年最新披露信息。该公司为台商独资企业，未公开披露经审计年度财务报表，公开营收数据已在文中标注来源。）</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佳美食品工业有限公司成立于1994年11月11日，是台商独资企业，注册地址位于山东省菏泽市牡丹区沙土镇（沙土外向型食品城），统一社会信用代码913717006140332968，法定代表人为李国梁，注册资本6225万美元，经营状态为存续。公司占地面积约9.5万平方米，是沙土镇绿色休闲食品特色产业集群的龙头企业。</w:t>
      </w:r>
    </w:p>
    <w:p>
      <w:pPr>
        <w:spacing w:lineRule="exact" w:line="600" w:before="0" w:after="0"/>
        <w:ind w:firstLine="420"/>
        <w:jc w:val="both"/>
      </w:pPr>
      <w:r>
        <w:rPr>
          <w:rFonts w:ascii="仿宋_GB2312" w:hAnsi="仿宋_GB2312" w:eastAsia="仿宋_GB2312"/>
          <w:b w:val="0"/>
          <w:color w:val="000000"/>
          <w:sz w:val="32"/>
        </w:rPr>
        <w:t>股权性质为台商独资，实际控制人系台湾投资方。公司作为农业产业化国家重点龙头企业（2025年5月农业农村部公布入选），在菏泽深耕果蔬汁加工逾30年，是牡丹区首家国家级农业龙头企业。</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551"/>
          </w:tcPr>
          <w:p>
            <w:pPr>
              <w:spacing w:lineRule="exact" w:line="600"/>
              <w:jc w:val="center"/>
            </w:pPr>
            <w:r/>
            <w:r>
              <w:rPr>
                <w:rFonts w:ascii="仿宋_GB2312" w:hAnsi="仿宋_GB2312" w:eastAsia="仿宋_GB2312"/>
                <w:b w:val="0"/>
                <w:color w:val="000000"/>
                <w:sz w:val="32"/>
              </w:rPr>
              <w:t>企业名称</w:t>
            </w:r>
          </w:p>
        </w:tc>
        <w:tc>
          <w:tcPr>
            <w:tcW w:type="dxa" w:w="6803"/>
          </w:tcPr>
          <w:p>
            <w:pPr>
              <w:spacing w:lineRule="exact" w:line="600"/>
              <w:jc w:val="center"/>
            </w:pPr>
            <w:r/>
            <w:r>
              <w:rPr>
                <w:rFonts w:ascii="仿宋_GB2312" w:hAnsi="仿宋_GB2312" w:eastAsia="仿宋_GB2312"/>
                <w:b w:val="0"/>
                <w:color w:val="000000"/>
                <w:sz w:val="32"/>
              </w:rPr>
              <w:t>山东佳美食品工业有限公司</w:t>
            </w:r>
          </w:p>
        </w:tc>
      </w:tr>
      <w:tr>
        <w:tc>
          <w:tcPr>
            <w:tcW w:type="dxa" w:w="2551"/>
          </w:tcPr>
          <w:p>
            <w:pPr>
              <w:spacing w:lineRule="exact" w:line="600"/>
              <w:jc w:val="center"/>
            </w:pPr>
            <w:r/>
            <w:r>
              <w:rPr>
                <w:rFonts w:ascii="仿宋_GB2312" w:hAnsi="仿宋_GB2312" w:eastAsia="仿宋_GB2312"/>
                <w:b w:val="0"/>
                <w:color w:val="000000"/>
                <w:sz w:val="32"/>
              </w:rPr>
              <w:t>成立日期</w:t>
            </w:r>
          </w:p>
        </w:tc>
        <w:tc>
          <w:tcPr>
            <w:tcW w:type="dxa" w:w="6803"/>
          </w:tcPr>
          <w:p>
            <w:pPr>
              <w:spacing w:lineRule="exact" w:line="600"/>
              <w:jc w:val="center"/>
            </w:pPr>
            <w:r/>
            <w:r>
              <w:rPr>
                <w:rFonts w:ascii="仿宋_GB2312" w:hAnsi="仿宋_GB2312" w:eastAsia="仿宋_GB2312"/>
                <w:b w:val="0"/>
                <w:color w:val="000000"/>
                <w:sz w:val="32"/>
              </w:rPr>
              <w:t>1994-11-11</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6225万美元</w:t>
            </w:r>
          </w:p>
        </w:tc>
      </w:tr>
      <w:tr>
        <w:tc>
          <w:tcPr>
            <w:tcW w:type="dxa" w:w="2551"/>
          </w:tcPr>
          <w:p>
            <w:pPr>
              <w:spacing w:lineRule="exact" w:line="600"/>
              <w:jc w:val="center"/>
            </w:pPr>
            <w:r/>
            <w:r>
              <w:rPr>
                <w:rFonts w:ascii="仿宋_GB2312" w:hAnsi="仿宋_GB2312" w:eastAsia="仿宋_GB2312"/>
                <w:b w:val="0"/>
                <w:color w:val="000000"/>
                <w:sz w:val="32"/>
              </w:rPr>
              <w:t>企业性质</w:t>
            </w:r>
          </w:p>
        </w:tc>
        <w:tc>
          <w:tcPr>
            <w:tcW w:type="dxa" w:w="6803"/>
          </w:tcPr>
          <w:p>
            <w:pPr>
              <w:spacing w:lineRule="exact" w:line="600"/>
              <w:jc w:val="center"/>
            </w:pPr>
            <w:r/>
            <w:r>
              <w:rPr>
                <w:rFonts w:ascii="仿宋_GB2312" w:hAnsi="仿宋_GB2312" w:eastAsia="仿宋_GB2312"/>
                <w:b w:val="0"/>
                <w:color w:val="000000"/>
                <w:sz w:val="32"/>
              </w:rPr>
              <w:t>台商独资企业</w:t>
            </w:r>
          </w:p>
        </w:tc>
      </w:tr>
      <w:tr>
        <w:tc>
          <w:tcPr>
            <w:tcW w:type="dxa" w:w="2551"/>
          </w:tcPr>
          <w:p>
            <w:pPr>
              <w:spacing w:lineRule="exact" w:line="600"/>
              <w:jc w:val="center"/>
            </w:pPr>
            <w:r/>
            <w:r>
              <w:rPr>
                <w:rFonts w:ascii="仿宋_GB2312" w:hAnsi="仿宋_GB2312" w:eastAsia="仿宋_GB2312"/>
                <w:b w:val="0"/>
                <w:color w:val="000000"/>
                <w:sz w:val="32"/>
              </w:rPr>
              <w:t>法定代表人</w:t>
            </w:r>
          </w:p>
        </w:tc>
        <w:tc>
          <w:tcPr>
            <w:tcW w:type="dxa" w:w="6803"/>
          </w:tcPr>
          <w:p>
            <w:pPr>
              <w:spacing w:lineRule="exact" w:line="600"/>
              <w:jc w:val="center"/>
            </w:pPr>
            <w:r/>
            <w:r>
              <w:rPr>
                <w:rFonts w:ascii="仿宋_GB2312" w:hAnsi="仿宋_GB2312" w:eastAsia="仿宋_GB2312"/>
                <w:b w:val="0"/>
                <w:color w:val="000000"/>
                <w:sz w:val="32"/>
              </w:rPr>
              <w:t>李国梁</w:t>
            </w:r>
          </w:p>
        </w:tc>
      </w:tr>
      <w:tr>
        <w:tc>
          <w:tcPr>
            <w:tcW w:type="dxa" w:w="2551"/>
          </w:tcPr>
          <w:p>
            <w:pPr>
              <w:spacing w:lineRule="exact" w:line="600"/>
              <w:jc w:val="center"/>
            </w:pPr>
            <w:r/>
            <w:r>
              <w:rPr>
                <w:rFonts w:ascii="仿宋_GB2312" w:hAnsi="仿宋_GB2312" w:eastAsia="仿宋_GB2312"/>
                <w:b w:val="0"/>
                <w:color w:val="000000"/>
                <w:sz w:val="32"/>
              </w:rPr>
              <w:t>注册地址</w:t>
            </w:r>
          </w:p>
        </w:tc>
        <w:tc>
          <w:tcPr>
            <w:tcW w:type="dxa" w:w="6803"/>
          </w:tcPr>
          <w:p>
            <w:pPr>
              <w:spacing w:lineRule="exact" w:line="600"/>
              <w:jc w:val="center"/>
            </w:pPr>
            <w:r/>
            <w:r>
              <w:rPr>
                <w:rFonts w:ascii="仿宋_GB2312" w:hAnsi="仿宋_GB2312" w:eastAsia="仿宋_GB2312"/>
                <w:b w:val="0"/>
                <w:color w:val="000000"/>
                <w:sz w:val="32"/>
              </w:rPr>
              <w:t>山东省菏泽市牡丹区沙土镇</w:t>
            </w:r>
          </w:p>
        </w:tc>
      </w:tr>
      <w:tr>
        <w:tc>
          <w:tcPr>
            <w:tcW w:type="dxa" w:w="2551"/>
          </w:tcPr>
          <w:p>
            <w:pPr>
              <w:spacing w:lineRule="exact" w:line="600"/>
              <w:jc w:val="center"/>
            </w:pPr>
            <w:r/>
            <w:r>
              <w:rPr>
                <w:rFonts w:ascii="仿宋_GB2312" w:hAnsi="仿宋_GB2312" w:eastAsia="仿宋_GB2312"/>
                <w:b w:val="0"/>
                <w:color w:val="000000"/>
                <w:sz w:val="32"/>
              </w:rPr>
              <w:t>统一社会信用代码</w:t>
            </w:r>
          </w:p>
        </w:tc>
        <w:tc>
          <w:tcPr>
            <w:tcW w:type="dxa" w:w="6803"/>
          </w:tcPr>
          <w:p>
            <w:pPr>
              <w:spacing w:lineRule="exact" w:line="600"/>
              <w:jc w:val="center"/>
            </w:pPr>
            <w:r/>
            <w:r>
              <w:rPr>
                <w:rFonts w:ascii="仿宋_GB2312" w:hAnsi="仿宋_GB2312" w:eastAsia="仿宋_GB2312"/>
                <w:b w:val="0"/>
                <w:color w:val="000000"/>
                <w:sz w:val="32"/>
              </w:rPr>
              <w:t>913717006140332968</w:t>
            </w:r>
          </w:p>
        </w:tc>
      </w:tr>
      <w:tr>
        <w:tc>
          <w:tcPr>
            <w:tcW w:type="dxa" w:w="2551"/>
          </w:tcPr>
          <w:p>
            <w:pPr>
              <w:spacing w:lineRule="exact" w:line="600"/>
              <w:jc w:val="center"/>
            </w:pPr>
            <w:r/>
            <w:r>
              <w:rPr>
                <w:rFonts w:ascii="仿宋_GB2312" w:hAnsi="仿宋_GB2312" w:eastAsia="仿宋_GB2312"/>
                <w:b w:val="0"/>
                <w:color w:val="000000"/>
                <w:sz w:val="32"/>
              </w:rPr>
              <w:t>荣誉</w:t>
            </w:r>
          </w:p>
        </w:tc>
        <w:tc>
          <w:tcPr>
            <w:tcW w:type="dxa" w:w="6803"/>
          </w:tcPr>
          <w:p>
            <w:pPr>
              <w:spacing w:lineRule="exact" w:line="600"/>
              <w:jc w:val="center"/>
            </w:pPr>
            <w:r/>
            <w:r>
              <w:rPr>
                <w:rFonts w:ascii="仿宋_GB2312" w:hAnsi="仿宋_GB2312" w:eastAsia="仿宋_GB2312"/>
                <w:b w:val="0"/>
                <w:color w:val="000000"/>
                <w:sz w:val="32"/>
              </w:rPr>
              <w:t>农业产业化国家重点龙头企业（2025）</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一厂、二厂及在建三厂，固定资产投资累计较大。现有员工约1500人，其中硕士、本科、专科学历46人，专业技术人员167人。公司依托台湾总部统一管理，在菏泽形成集种植基地、加工、研发、销售于一体的果蔬汁产业链。</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1994年台商在沙土镇投资建厂；1996年5月试生产成功；2000年投资1800万美元新建年产2万吨罐头生产线；2002年再投3000万美元新增5条果汁蔬菜汁生产线及5000吨冷库；2007年年产值达6.6亿元、出口创汇2938万美元。</w:t>
      </w:r>
    </w:p>
    <w:p>
      <w:pPr>
        <w:spacing w:lineRule="exact" w:line="600" w:before="0" w:after="0"/>
        <w:ind w:firstLine="420"/>
        <w:jc w:val="both"/>
      </w:pPr>
      <w:r>
        <w:rPr>
          <w:rFonts w:ascii="仿宋_GB2312" w:hAnsi="仿宋_GB2312" w:eastAsia="仿宋_GB2312"/>
          <w:b w:val="0"/>
          <w:color w:val="000000"/>
          <w:sz w:val="32"/>
        </w:rPr>
        <w:t>此后多次重大投资推动跨越式发展：2008年追加2500万美元投资石榴汁生产线；2011年投资1.5亿元新上10条果汁萃取鲜榨生产线；2024年引进国际领先的HPP（600MPa）超高压冷灭菌技术，跻身尖端技术企业行列。建厂30年来累计增资22次，投入超2亿美元（折合人民币超15亿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亚洲生产规模最大、产品品项最全的果蔬汁生产加工企业，是沙土镇绿色休闲食品特色产业集群的链主龙头。主营业务为果蔬汁、蔬菜汁、罐头、果酒等五大系列三十多个品种的研发、生产与销售，核心产品包括浓缩果蔬汁与鲜榨果汁（HPP冷灭菌）。</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业务以浓缩果蔬汁、鲜榨果蔬汁（HPP）为主，辅以蔬菜汁、罐头、果酒。公司年产浓缩果蔬汁和鲜榨果汁约4万吨，为娃哈哈、汇源、统一等头部品牌供应浓缩果汁，并直接面向新茶饮客户供应生鲜饮品。</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果汁系列：梨汁、苹果汁、西瓜汁、石榴汁、桃汁、枣汁、草莓汁、桑椹汁等；蔬菜汁系列：芹菜汁、芦笋汁、菠菜汁、辣椒汁、姜汁、胡萝卜汁、番茄汁等；罐头系列：芦笋罐头、桃罐头、桔子罐头；以及果酒、葡萄酒等。HPP超高压冷灭菌生鲜饮料为公司技术升级代表产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涵盖两类：一是传统饮料头部品牌（娃哈哈、汇源、统一等）的浓缩果汁供应；二是新茶饮与连锁渠道（瑞幸咖啡、喜茶、古茗等）的鲜榨/生鲜饮品供应。客户结构优、渠道层级高，体现其产品品质与技术能力。</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原材料依托菏泽丰富的果蔬资源，沙土镇发展芦笋、甘蓝、胡萝卜、香葱等蔬菜基地10万余亩，辐射带动周边种植面积超20万亩；公司通过"龙头企业+合作社+农户+基地"模式保障原料供应，95%蔬菜实现就地加工转化。</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引进世界领先的600MPa超高压灭菌设备及多条果汁萃取生产线，年加工蔬果汁约3.5万吨、罐头1.5万吨、各类饮料1万吨（历史产能口径）。作为国家级龙头企业，取得出口资质，产品远销日韩、欧美、东南亚等十余个国家和地区。</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销售以B端大客户（饮料品牌、新茶饮、连锁）与出口并重，依托"基地+加工+品牌"一体化模式，渠道稳定且附加值高。2025年1—5月实现营业收入5.06亿元、同比增长61.15%，显示渠道拓展成效显著。</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报道显示：2024年公司实现营业收入超10亿元（政府答复披露2024年营收9.06亿元）；2025年1—5月营业收入5.06亿元、同比增长61.15%，利润总额0.72亿元、同比增长133%，税收2963万元、同比增长53.28%。公司系亚洲最大浓缩果蔬汁供应商之一，在区域果蔬汁加工领域占据龙头地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山东佳美食品工业有限公司为台商独资企业，未公开披露经审计的年度财务报表。以下数据来自政府公开答复与权威媒体报道，非审计口径，仅供分析参考。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984"/>
          </w:tcPr>
          <w:p>
            <w:pPr>
              <w:spacing w:lineRule="exact" w:line="600"/>
              <w:jc w:val="center"/>
            </w:pPr>
            <w:r/>
            <w:r>
              <w:rPr>
                <w:rFonts w:ascii="黑体" w:hAnsi="黑体" w:eastAsia="黑体"/>
                <w:b/>
                <w:color w:val="000000"/>
                <w:sz w:val="32"/>
              </w:rPr>
              <w:t>年度/期间</w:t>
            </w:r>
          </w:p>
        </w:tc>
        <w:tc>
          <w:tcPr>
            <w:tcW w:type="dxa" w:w="2268"/>
          </w:tcPr>
          <w:p>
            <w:pPr>
              <w:spacing w:lineRule="exact" w:line="600"/>
              <w:jc w:val="center"/>
            </w:pPr>
            <w:r/>
            <w:r>
              <w:rPr>
                <w:rFonts w:ascii="黑体" w:hAnsi="黑体" w:eastAsia="黑体"/>
                <w:b/>
                <w:color w:val="000000"/>
                <w:sz w:val="32"/>
              </w:rPr>
              <w:t>营业收入</w:t>
            </w:r>
          </w:p>
        </w:tc>
        <w:tc>
          <w:tcPr>
            <w:tcW w:type="dxa" w:w="2268"/>
          </w:tcPr>
          <w:p>
            <w:pPr>
              <w:spacing w:lineRule="exact" w:line="600"/>
              <w:jc w:val="center"/>
            </w:pPr>
            <w:r/>
            <w:r>
              <w:rPr>
                <w:rFonts w:ascii="黑体" w:hAnsi="黑体" w:eastAsia="黑体"/>
                <w:b/>
                <w:color w:val="000000"/>
                <w:sz w:val="32"/>
              </w:rPr>
              <w:t>利润/利税</w:t>
            </w:r>
          </w:p>
        </w:tc>
        <w:tc>
          <w:tcPr>
            <w:tcW w:type="dxa" w:w="2835"/>
          </w:tcPr>
          <w:p>
            <w:pPr>
              <w:spacing w:lineRule="exact" w:line="600"/>
              <w:jc w:val="center"/>
            </w:pPr>
            <w:r/>
            <w:r>
              <w:rPr>
                <w:rFonts w:ascii="黑体" w:hAnsi="黑体" w:eastAsia="黑体"/>
                <w:b/>
                <w:color w:val="000000"/>
                <w:sz w:val="32"/>
              </w:rPr>
              <w:t>备注</w:t>
            </w:r>
          </w:p>
        </w:tc>
      </w:tr>
      <w:tr>
        <w:tc>
          <w:tcPr>
            <w:tcW w:type="dxa" w:w="1984"/>
          </w:tcPr>
          <w:p>
            <w:pPr>
              <w:spacing w:lineRule="exact" w:line="600"/>
              <w:jc w:val="center"/>
            </w:pPr>
            <w:r/>
            <w:r>
              <w:rPr>
                <w:rFonts w:ascii="仿宋_GB2312" w:hAnsi="仿宋_GB2312" w:eastAsia="仿宋_GB2312"/>
                <w:b w:val="0"/>
                <w:color w:val="000000"/>
                <w:sz w:val="32"/>
              </w:rPr>
              <w:t>2024年</w:t>
            </w:r>
          </w:p>
        </w:tc>
        <w:tc>
          <w:tcPr>
            <w:tcW w:type="dxa" w:w="2268"/>
          </w:tcPr>
          <w:p>
            <w:pPr>
              <w:spacing w:lineRule="exact" w:line="600"/>
              <w:jc w:val="center"/>
            </w:pPr>
            <w:r/>
            <w:r>
              <w:rPr>
                <w:rFonts w:ascii="仿宋_GB2312" w:hAnsi="仿宋_GB2312" w:eastAsia="仿宋_GB2312"/>
                <w:b w:val="0"/>
                <w:color w:val="000000"/>
                <w:sz w:val="32"/>
              </w:rPr>
              <w:t>约9.06—10亿元</w:t>
            </w:r>
          </w:p>
        </w:tc>
        <w:tc>
          <w:tcPr>
            <w:tcW w:type="dxa" w:w="2268"/>
          </w:tcPr>
          <w:p>
            <w:pPr>
              <w:spacing w:lineRule="exact" w:line="600"/>
              <w:jc w:val="center"/>
            </w:pPr>
            <w:r/>
            <w:r>
              <w:rPr>
                <w:rFonts w:ascii="仿宋_GB2312" w:hAnsi="仿宋_GB2312" w:eastAsia="仿宋_GB2312"/>
                <w:b w:val="0"/>
                <w:color w:val="000000"/>
                <w:sz w:val="32"/>
              </w:rPr>
              <w:t>未披露</w:t>
            </w:r>
          </w:p>
        </w:tc>
        <w:tc>
          <w:tcPr>
            <w:tcW w:type="dxa" w:w="2835"/>
          </w:tcPr>
          <w:p>
            <w:pPr>
              <w:spacing w:lineRule="exact" w:line="600"/>
              <w:jc w:val="center"/>
            </w:pPr>
            <w:r/>
            <w:r>
              <w:rPr>
                <w:rFonts w:ascii="仿宋_GB2312" w:hAnsi="仿宋_GB2312" w:eastAsia="仿宋_GB2312"/>
                <w:b w:val="0"/>
                <w:color w:val="000000"/>
                <w:sz w:val="32"/>
              </w:rPr>
              <w:t>政府答复/媒体报道</w:t>
            </w:r>
          </w:p>
        </w:tc>
      </w:tr>
      <w:tr>
        <w:tc>
          <w:tcPr>
            <w:tcW w:type="dxa" w:w="1984"/>
          </w:tcPr>
          <w:p>
            <w:pPr>
              <w:spacing w:lineRule="exact" w:line="600"/>
              <w:jc w:val="center"/>
            </w:pPr>
            <w:r/>
            <w:r>
              <w:rPr>
                <w:rFonts w:ascii="仿宋_GB2312" w:hAnsi="仿宋_GB2312" w:eastAsia="仿宋_GB2312"/>
                <w:b w:val="0"/>
                <w:color w:val="000000"/>
                <w:sz w:val="32"/>
              </w:rPr>
              <w:t>2025年1—5月</w:t>
            </w:r>
          </w:p>
        </w:tc>
        <w:tc>
          <w:tcPr>
            <w:tcW w:type="dxa" w:w="2268"/>
          </w:tcPr>
          <w:p>
            <w:pPr>
              <w:spacing w:lineRule="exact" w:line="600"/>
              <w:jc w:val="center"/>
            </w:pPr>
            <w:r/>
            <w:r>
              <w:rPr>
                <w:rFonts w:ascii="仿宋_GB2312" w:hAnsi="仿宋_GB2312" w:eastAsia="仿宋_GB2312"/>
                <w:b w:val="0"/>
                <w:color w:val="000000"/>
                <w:sz w:val="32"/>
              </w:rPr>
              <w:t>5.06亿元</w:t>
            </w:r>
          </w:p>
        </w:tc>
        <w:tc>
          <w:tcPr>
            <w:tcW w:type="dxa" w:w="2268"/>
          </w:tcPr>
          <w:p>
            <w:pPr>
              <w:spacing w:lineRule="exact" w:line="600"/>
              <w:jc w:val="center"/>
            </w:pPr>
            <w:r/>
            <w:r>
              <w:rPr>
                <w:rFonts w:ascii="仿宋_GB2312" w:hAnsi="仿宋_GB2312" w:eastAsia="仿宋_GB2312"/>
                <w:b w:val="0"/>
                <w:color w:val="000000"/>
                <w:sz w:val="32"/>
              </w:rPr>
              <w:t>利润0.72亿元</w:t>
            </w:r>
          </w:p>
        </w:tc>
        <w:tc>
          <w:tcPr>
            <w:tcW w:type="dxa" w:w="2835"/>
          </w:tcPr>
          <w:p>
            <w:pPr>
              <w:spacing w:lineRule="exact" w:line="600"/>
              <w:jc w:val="center"/>
            </w:pPr>
            <w:r/>
            <w:r>
              <w:rPr>
                <w:rFonts w:ascii="仿宋_GB2312" w:hAnsi="仿宋_GB2312" w:eastAsia="仿宋_GB2312"/>
                <w:b w:val="0"/>
                <w:color w:val="000000"/>
                <w:sz w:val="32"/>
              </w:rPr>
              <w:t>同比+61.15%/+133%</w:t>
            </w:r>
          </w:p>
        </w:tc>
      </w:tr>
      <w:tr>
        <w:tc>
          <w:tcPr>
            <w:tcW w:type="dxa" w:w="1984"/>
          </w:tcPr>
          <w:p>
            <w:pPr>
              <w:spacing w:lineRule="exact" w:line="600"/>
              <w:jc w:val="center"/>
            </w:pPr>
            <w:r/>
            <w:r>
              <w:rPr>
                <w:rFonts w:ascii="仿宋_GB2312" w:hAnsi="仿宋_GB2312" w:eastAsia="仿宋_GB2312"/>
                <w:b w:val="0"/>
                <w:color w:val="000000"/>
                <w:sz w:val="32"/>
              </w:rPr>
              <w:t>历史峰值(2007)</w:t>
            </w:r>
          </w:p>
        </w:tc>
        <w:tc>
          <w:tcPr>
            <w:tcW w:type="dxa" w:w="2268"/>
          </w:tcPr>
          <w:p>
            <w:pPr>
              <w:spacing w:lineRule="exact" w:line="600"/>
              <w:jc w:val="center"/>
            </w:pPr>
            <w:r/>
            <w:r>
              <w:rPr>
                <w:rFonts w:ascii="仿宋_GB2312" w:hAnsi="仿宋_GB2312" w:eastAsia="仿宋_GB2312"/>
                <w:b w:val="0"/>
                <w:color w:val="000000"/>
                <w:sz w:val="32"/>
              </w:rPr>
              <w:t>年产值6.6亿元</w:t>
            </w:r>
          </w:p>
        </w:tc>
        <w:tc>
          <w:tcPr>
            <w:tcW w:type="dxa" w:w="2268"/>
          </w:tcPr>
          <w:p>
            <w:pPr>
              <w:spacing w:lineRule="exact" w:line="600"/>
              <w:jc w:val="center"/>
            </w:pPr>
            <w:r/>
            <w:r>
              <w:rPr>
                <w:rFonts w:ascii="仿宋_GB2312" w:hAnsi="仿宋_GB2312" w:eastAsia="仿宋_GB2312"/>
                <w:b w:val="0"/>
                <w:color w:val="000000"/>
                <w:sz w:val="32"/>
              </w:rPr>
              <w:t>出口创汇2938万美元</w:t>
            </w:r>
          </w:p>
        </w:tc>
        <w:tc>
          <w:tcPr>
            <w:tcW w:type="dxa" w:w="2835"/>
          </w:tcPr>
          <w:p>
            <w:pPr>
              <w:spacing w:lineRule="exact" w:line="600"/>
              <w:jc w:val="center"/>
            </w:pPr>
            <w:r/>
            <w:r>
              <w:rPr>
                <w:rFonts w:ascii="仿宋_GB2312" w:hAnsi="仿宋_GB2312" w:eastAsia="仿宋_GB2312"/>
                <w:b w:val="0"/>
                <w:color w:val="000000"/>
                <w:sz w:val="32"/>
              </w:rPr>
              <w:t>—</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2025年1—5月利润总额0.72亿元、同比增长133%，盈利增速较高，反映HPP新技术产品与渠道拓展带动盈利能力改善。因缺乏完整财报，毛利率、净利率无法精确测算，但果蔬精深加工附加值较高，整体盈利质量向好。</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公司累计投入超15亿元、占地9.5万平方米，固定资产与生产线规模大，资产质量较优。作为重资产加工企业，设备与技术投入构成主要资产。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完整负债数据未公开。公司持续盈利、现金流回款较好（大客户信用较高），预计偿债能力较强；台资背景亦提供一定资本支撑。</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面向娃哈哈、汇源、瑞幸等优质客户，回款相对有保障；出口业务带来外汇流入。具体经营现金流数据未公开。</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与同集群的山东沙土食品工业有限公司（炒货，2024年营收3.1亿元）相比，佳美食品营收规模显著更大（超10亿元），且技术装备与出口能力更强，是牡丹区食品产业集群的绝对龙头。</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公司作为台商独资企业，由台湾总部统筹战略与投资，菏泽基地负责生产运营，治理集中高效。</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法定代表人李国梁，管理层具台资企业管理经验。公司经历多轮重大投资扩产，管理团队执行力较强。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公司通过HACCP、ISO等质量体系保障食品安全，引进国际领先灭菌与萃取设备，内控与品控体系较完善。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现有员工约1500人，含专业技术人员167人，人员规模在县域食品加工企业中居前列；与山东农业大学等院校合作提升研发能力。</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规模与技术双领先：亚洲最大果蔬汁加工规模，引进600MPa HPP超高压冷灭菌等国际尖端技术，技术壁垒明显。</w:t>
      </w:r>
    </w:p>
    <w:p>
      <w:pPr>
        <w:spacing w:lineRule="exact" w:line="600" w:before="0" w:after="0"/>
        <w:ind w:firstLine="420"/>
        <w:jc w:val="both"/>
      </w:pPr>
      <w:r>
        <w:rPr>
          <w:rFonts w:ascii="仿宋_GB2312" w:hAnsi="仿宋_GB2312" w:eastAsia="仿宋_GB2312"/>
          <w:b w:val="0"/>
          <w:color w:val="000000"/>
          <w:sz w:val="32"/>
        </w:rPr>
        <w:t>优质客户壁垒：长期服务娃哈哈、汇源、统一及瑞幸、喜茶、古茗等新茶饮龙头，渠道层级高、黏性强。</w:t>
      </w:r>
    </w:p>
    <w:p>
      <w:pPr>
        <w:spacing w:lineRule="exact" w:line="600" w:before="0" w:after="0"/>
        <w:ind w:firstLine="420"/>
        <w:jc w:val="both"/>
      </w:pPr>
      <w:r>
        <w:rPr>
          <w:rFonts w:ascii="仿宋_GB2312" w:hAnsi="仿宋_GB2312" w:eastAsia="仿宋_GB2312"/>
          <w:b w:val="0"/>
          <w:color w:val="000000"/>
          <w:sz w:val="32"/>
        </w:rPr>
        <w:t>原料与集群优势：依托菏泽20万亩果蔬基地与"龙头企业+合作社+农户+基地"模式，原料保障与成本优势突出。</w:t>
      </w:r>
    </w:p>
    <w:p>
      <w:pPr>
        <w:spacing w:lineRule="exact" w:line="600" w:before="0" w:after="0"/>
        <w:ind w:firstLine="420"/>
        <w:jc w:val="both"/>
      </w:pPr>
      <w:r>
        <w:rPr>
          <w:rFonts w:ascii="仿宋_GB2312" w:hAnsi="仿宋_GB2312" w:eastAsia="仿宋_GB2312"/>
          <w:b w:val="0"/>
          <w:color w:val="000000"/>
          <w:sz w:val="32"/>
        </w:rPr>
        <w:t>资质与品牌：国家级农业龙头企业、出口资质完善，品牌与信用背书强。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食品加工受原料价格（果蔬丰歉）、食品安全监管、消费需求波动影响；新茶饮行业增速放缓可能传导至上游供应商。</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客户集中度较高，对头部饮料与新茶饮品牌依赖度大；原料价格季节波动影响成本。</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财务未公开审计，透明度有限；重资产扩张带来折旧与资本开支压力。</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食品安全为生命线，若出现质量事故将严重影响品牌与客户关系；出口业务需符合目的国检验检疫标准。</w:t>
      </w:r>
    </w:p>
    <w:p>
      <w:pPr>
        <w:spacing w:lineRule="exact" w:line="600" w:before="120" w:after="120"/>
        <w:ind w:firstLine="420"/>
        <w:jc w:val="left"/>
      </w:pPr>
      <w:r>
        <w:rPr>
          <w:rFonts w:ascii="楷体_GB2312" w:hAnsi="楷体_GB2312" w:eastAsia="楷体_GB2312"/>
          <w:b w:val="0"/>
          <w:color w:val="000000"/>
          <w:sz w:val="32"/>
        </w:rPr>
        <w:t>（五）应对措施</w:t>
      </w:r>
    </w:p>
    <w:p>
      <w:pPr>
        <w:spacing w:lineRule="exact" w:line="600" w:before="0" w:after="0"/>
        <w:ind w:firstLine="420"/>
        <w:jc w:val="both"/>
      </w:pPr>
      <w:r>
        <w:rPr>
          <w:rFonts w:ascii="仿宋_GB2312" w:hAnsi="仿宋_GB2312" w:eastAsia="仿宋_GB2312"/>
          <w:b w:val="0"/>
          <w:color w:val="000000"/>
          <w:sz w:val="32"/>
        </w:rPr>
        <w:t>持续投入HPP等新技术提升产品附加值；拓展品类与客户结构；强化食品安全全链条管控；稳固原料基地保障供应链安全。</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保理业务：面向娃哈哈、汇源、瑞幸等优质客户的应收账款，可开展保理融资，加速资金周转。</w:t>
      </w:r>
    </w:p>
    <w:p>
      <w:pPr>
        <w:spacing w:lineRule="exact" w:line="600" w:before="0" w:after="0"/>
        <w:ind w:firstLine="420"/>
        <w:jc w:val="both"/>
      </w:pPr>
      <w:r>
        <w:rPr>
          <w:rFonts w:ascii="仿宋_GB2312" w:hAnsi="仿宋_GB2312" w:eastAsia="仿宋_GB2312"/>
          <w:b w:val="0"/>
          <w:color w:val="000000"/>
          <w:sz w:val="32"/>
        </w:rPr>
        <w:t>供应链金融：以佳美食品为链主，为上游合作社、农户及配套供应商提供订单融资、存货质押等供应链金融服务，强化产业链协同。</w:t>
      </w:r>
    </w:p>
    <w:p>
      <w:pPr>
        <w:spacing w:lineRule="exact" w:line="600" w:before="0" w:after="0"/>
        <w:ind w:firstLine="420"/>
        <w:jc w:val="both"/>
      </w:pPr>
      <w:r>
        <w:rPr>
          <w:rFonts w:ascii="仿宋_GB2312" w:hAnsi="仿宋_GB2312" w:eastAsia="仿宋_GB2312"/>
          <w:b w:val="0"/>
          <w:color w:val="000000"/>
          <w:sz w:val="32"/>
        </w:rPr>
        <w:t>融资租赁：HPP设备、萃取生产线等技术装备投入大，可通过融资租赁优化资本结构。</w:t>
      </w:r>
    </w:p>
    <w:p>
      <w:pPr>
        <w:spacing w:lineRule="exact" w:line="600" w:before="0" w:after="0"/>
        <w:ind w:firstLine="420"/>
        <w:jc w:val="both"/>
      </w:pPr>
      <w:r>
        <w:rPr>
          <w:rFonts w:ascii="仿宋_GB2312" w:hAnsi="仿宋_GB2312" w:eastAsia="仿宋_GB2312"/>
          <w:b w:val="0"/>
          <w:color w:val="000000"/>
          <w:sz w:val="32"/>
        </w:rPr>
        <w:t>小额贷款：为上游种植户与小微配套商提供季节性周转小贷，稳固原料供应体系。</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综合评价：山东佳美食品工业有限公司是牡丹区绿色休闲食品特色产业集群的龙头链主，亚洲最大果蔬汁加工规模、技术装备国际领先、客户结构优质，2025年营收与利润高速增长，综合实力突出。</w:t>
      </w:r>
    </w:p>
    <w:p>
      <w:pPr>
        <w:spacing w:lineRule="exact" w:line="600" w:before="0" w:after="0"/>
        <w:ind w:firstLine="420"/>
        <w:jc w:val="both"/>
      </w:pPr>
      <w:r>
        <w:rPr>
          <w:rFonts w:ascii="仿宋_GB2312" w:hAnsi="仿宋_GB2312" w:eastAsia="仿宋_GB2312"/>
          <w:b w:val="0"/>
          <w:color w:val="000000"/>
          <w:sz w:val="32"/>
        </w:rPr>
        <w:t>发展展望：依托HPP新技术与新茶饮赛道，公司有望持续高增长；出口与国内双循环格局稳固。据公司规划，将继续增资扩产、丰富品类。</w:t>
      </w:r>
    </w:p>
    <w:p>
      <w:pPr>
        <w:spacing w:lineRule="exact" w:line="600" w:before="0" w:after="0"/>
        <w:ind w:firstLine="420"/>
        <w:jc w:val="both"/>
      </w:pPr>
      <w:r>
        <w:rPr>
          <w:rFonts w:ascii="仿宋_GB2312" w:hAnsi="仿宋_GB2312" w:eastAsia="仿宋_GB2312"/>
          <w:b w:val="0"/>
          <w:color w:val="000000"/>
          <w:sz w:val="32"/>
        </w:rPr>
        <w:t>挑战：客户集中、原料价格波动、食品安全监管趋严；重资产模式对资金效率提出更高要求。</w:t>
      </w:r>
    </w:p>
    <w:p>
      <w:pPr>
        <w:spacing w:lineRule="exact" w:line="600" w:before="0" w:after="0"/>
        <w:ind w:firstLine="420"/>
        <w:jc w:val="both"/>
      </w:pPr>
      <w:r>
        <w:rPr>
          <w:rFonts w:ascii="仿宋_GB2312" w:hAnsi="仿宋_GB2312" w:eastAsia="仿宋_GB2312"/>
          <w:b w:val="0"/>
          <w:color w:val="000000"/>
          <w:sz w:val="32"/>
        </w:rPr>
        <w:t>建议：一是规范财务披露，提升信用与融资能力；二是适度分散客户与品类，降低单一依赖；三是深化与山东投资在供应链金融、保理等领域的合作，赋能上下游；四是强化食品安全与品牌建设，巩固龙头地位。</w:t>
      </w:r>
    </w:p>
    <w:p>
      <w:pPr>
        <w:spacing w:lineRule="exact" w:line="600" w:before="0" w:after="0"/>
        <w:jc w:val="left"/>
      </w:pPr>
      <w:r>
        <w:rPr>
          <w:rFonts w:ascii="仿宋_GB2312" w:hAnsi="仿宋_GB2312" w:eastAsia="仿宋_GB2312"/>
          <w:b w:val="0"/>
          <w:color w:val="000000"/>
          <w:sz w:val="28"/>
        </w:rPr>
        <w:t>数据来源说明：本报告数据来源于菏泽日报（heze.cn/hzrb）、牡丹晚报（heze.cn/mdwb）、菏泽市政府网（mudan.gov.cn）、菏泽新闻网（heze.subaoxw.com）、百度百科等公开渠道及企业公开报道。财务数据为非审计公开口径，已标注来源。</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