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山东菏泽牡丹区（绿色休闲食品）特色产业集群</w:t>
      </w:r>
    </w:p>
    <w:p>
      <w:pPr>
        <w:spacing w:lineRule="exact" w:line="600" w:before="240" w:after="240"/>
        <w:ind w:firstLine="0"/>
        <w:jc w:val="center"/>
      </w:pPr>
      <w:r>
        <w:rPr>
          <w:rFonts w:ascii="方正小标宋简体" w:hAnsi="方正小标宋简体" w:eastAsia="方正小标宋简体"/>
          <w:b w:val="0"/>
          <w:color w:val="000000"/>
          <w:sz w:val="44"/>
        </w:rPr>
        <w:t>菏泽盛鑫源食品有限公司企业分析报告</w:t>
      </w:r>
    </w:p>
    <w:p>
      <w:pPr>
        <w:spacing w:lineRule="exact" w:line="600" w:before="0" w:after="0"/>
        <w:jc w:val="left"/>
      </w:pPr>
      <w:r>
        <w:rPr>
          <w:rFonts w:ascii="仿宋_GB2312" w:hAnsi="仿宋_GB2312" w:eastAsia="仿宋_GB2312"/>
          <w:b w:val="0"/>
          <w:color w:val="000000"/>
          <w:sz w:val="28"/>
        </w:rPr>
        <w:t>（注：批次所列企业名称为"菏泽盛鑫源食品有限公司"，其工商登记全称为"菏泽市牡丹区盛鑫源食品有限公司"，本报告以批次名称为标题，正文工商信息采用登记全称。数据来源于百度百科、企业官网（hzshengxinyuan.com）、招聘及政府公开信息等公开渠道，统计时点截至2025年最新披露信息。该公司为非上市民营企业，部分财务数据为公开报道口径，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菏泽市牡丹区盛鑫源食品有限公司成立于2007年8月9日，注册地址位于山东省菏泽市牡丹区沙土镇，法定代表人为袁来需。公司注册资本1800万元（2023年3月由200万元增资至1800万元），企业类型为自然人独资，袁来需为唯一股东、持股100%，兼任执行董事、总经理及财务负责人，付爱玲任监事。</w:t>
      </w:r>
    </w:p>
    <w:p>
      <w:pPr>
        <w:spacing w:lineRule="exact" w:line="600" w:before="0" w:after="0"/>
        <w:ind w:firstLine="420"/>
        <w:jc w:val="both"/>
      </w:pPr>
      <w:r>
        <w:rPr>
          <w:rFonts w:ascii="仿宋_GB2312" w:hAnsi="仿宋_GB2312" w:eastAsia="仿宋_GB2312"/>
          <w:b w:val="0"/>
          <w:color w:val="000000"/>
          <w:sz w:val="32"/>
        </w:rPr>
        <w:t>公司主营蔬菜制品（蔬菜干制品/热风干燥蔬菜、脱水蔬菜等）的生产销售，是沙土镇绿色休闲食品特色产业集群的重要成员。2025年公司获评国家级科技型中小企业、省级农业产业化重点龙头企业。</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项目</w:t>
            </w:r>
          </w:p>
        </w:tc>
        <w:tc>
          <w:tcPr>
            <w:tcW w:type="dxa" w:w="6803"/>
          </w:tcPr>
          <w:p>
            <w:pPr>
              <w:spacing w:lineRule="exact" w:line="600"/>
              <w:jc w:val="center"/>
            </w:pPr>
            <w:r/>
            <w:r>
              <w:rPr>
                <w:rFonts w:ascii="黑体" w:hAnsi="黑体" w:eastAsia="黑体"/>
                <w:b/>
                <w:color w:val="000000"/>
                <w:sz w:val="32"/>
              </w:rPr>
              <w:t>内容</w:t>
            </w:r>
          </w:p>
        </w:tc>
      </w:tr>
      <w:tr>
        <w:tc>
          <w:tcPr>
            <w:tcW w:type="dxa" w:w="2551"/>
          </w:tcPr>
          <w:p>
            <w:pPr>
              <w:spacing w:lineRule="exact" w:line="600"/>
              <w:jc w:val="center"/>
            </w:pPr>
            <w:r/>
            <w:r>
              <w:rPr>
                <w:rFonts w:ascii="仿宋_GB2312" w:hAnsi="仿宋_GB2312" w:eastAsia="仿宋_GB2312"/>
                <w:b w:val="0"/>
                <w:color w:val="000000"/>
                <w:sz w:val="32"/>
              </w:rPr>
              <w:t>登记全称</w:t>
            </w:r>
          </w:p>
        </w:tc>
        <w:tc>
          <w:tcPr>
            <w:tcW w:type="dxa" w:w="6803"/>
          </w:tcPr>
          <w:p>
            <w:pPr>
              <w:spacing w:lineRule="exact" w:line="600"/>
              <w:jc w:val="center"/>
            </w:pPr>
            <w:r/>
            <w:r>
              <w:rPr>
                <w:rFonts w:ascii="仿宋_GB2312" w:hAnsi="仿宋_GB2312" w:eastAsia="仿宋_GB2312"/>
                <w:b w:val="0"/>
                <w:color w:val="000000"/>
                <w:sz w:val="32"/>
              </w:rPr>
              <w:t>菏泽市牡丹区盛鑫源食品有限公司</w:t>
            </w:r>
          </w:p>
        </w:tc>
      </w:tr>
      <w:tr>
        <w:tc>
          <w:tcPr>
            <w:tcW w:type="dxa" w:w="2551"/>
          </w:tcPr>
          <w:p>
            <w:pPr>
              <w:spacing w:lineRule="exact" w:line="600"/>
              <w:jc w:val="center"/>
            </w:pPr>
            <w:r/>
            <w:r>
              <w:rPr>
                <w:rFonts w:ascii="仿宋_GB2312" w:hAnsi="仿宋_GB2312" w:eastAsia="仿宋_GB2312"/>
                <w:b w:val="0"/>
                <w:color w:val="000000"/>
                <w:sz w:val="32"/>
              </w:rPr>
              <w:t>成立日期</w:t>
            </w:r>
          </w:p>
        </w:tc>
        <w:tc>
          <w:tcPr>
            <w:tcW w:type="dxa" w:w="6803"/>
          </w:tcPr>
          <w:p>
            <w:pPr>
              <w:spacing w:lineRule="exact" w:line="600"/>
              <w:jc w:val="center"/>
            </w:pPr>
            <w:r/>
            <w:r>
              <w:rPr>
                <w:rFonts w:ascii="仿宋_GB2312" w:hAnsi="仿宋_GB2312" w:eastAsia="仿宋_GB2312"/>
                <w:b w:val="0"/>
                <w:color w:val="000000"/>
                <w:sz w:val="32"/>
              </w:rPr>
              <w:t>2007-08-09</w:t>
            </w:r>
          </w:p>
        </w:tc>
      </w:tr>
      <w:tr>
        <w:tc>
          <w:tcPr>
            <w:tcW w:type="dxa" w:w="2551"/>
          </w:tcPr>
          <w:p>
            <w:pPr>
              <w:spacing w:lineRule="exact" w:line="600"/>
              <w:jc w:val="center"/>
            </w:pPr>
            <w:r/>
            <w:r>
              <w:rPr>
                <w:rFonts w:ascii="仿宋_GB2312" w:hAnsi="仿宋_GB2312" w:eastAsia="仿宋_GB2312"/>
                <w:b w:val="0"/>
                <w:color w:val="000000"/>
                <w:sz w:val="32"/>
              </w:rPr>
              <w:t>法定代表人</w:t>
            </w:r>
          </w:p>
        </w:tc>
        <w:tc>
          <w:tcPr>
            <w:tcW w:type="dxa" w:w="6803"/>
          </w:tcPr>
          <w:p>
            <w:pPr>
              <w:spacing w:lineRule="exact" w:line="600"/>
              <w:jc w:val="center"/>
            </w:pPr>
            <w:r/>
            <w:r>
              <w:rPr>
                <w:rFonts w:ascii="仿宋_GB2312" w:hAnsi="仿宋_GB2312" w:eastAsia="仿宋_GB2312"/>
                <w:b w:val="0"/>
                <w:color w:val="000000"/>
                <w:sz w:val="32"/>
              </w:rPr>
              <w:t>袁来需（自然人独资，持股100%）</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803"/>
          </w:tcPr>
          <w:p>
            <w:pPr>
              <w:spacing w:lineRule="exact" w:line="600"/>
              <w:jc w:val="center"/>
            </w:pPr>
            <w:r/>
            <w:r>
              <w:rPr>
                <w:rFonts w:ascii="仿宋_GB2312" w:hAnsi="仿宋_GB2312" w:eastAsia="仿宋_GB2312"/>
                <w:b w:val="0"/>
                <w:color w:val="000000"/>
                <w:sz w:val="32"/>
              </w:rPr>
              <w:t>1800万元人民币</w:t>
            </w:r>
          </w:p>
        </w:tc>
      </w:tr>
      <w:tr>
        <w:tc>
          <w:tcPr>
            <w:tcW w:type="dxa" w:w="2551"/>
          </w:tcPr>
          <w:p>
            <w:pPr>
              <w:spacing w:lineRule="exact" w:line="600"/>
              <w:jc w:val="center"/>
            </w:pPr>
            <w:r/>
            <w:r>
              <w:rPr>
                <w:rFonts w:ascii="仿宋_GB2312" w:hAnsi="仿宋_GB2312" w:eastAsia="仿宋_GB2312"/>
                <w:b w:val="0"/>
                <w:color w:val="000000"/>
                <w:sz w:val="32"/>
              </w:rPr>
              <w:t>注册地址</w:t>
            </w:r>
          </w:p>
        </w:tc>
        <w:tc>
          <w:tcPr>
            <w:tcW w:type="dxa" w:w="6803"/>
          </w:tcPr>
          <w:p>
            <w:pPr>
              <w:spacing w:lineRule="exact" w:line="600"/>
              <w:jc w:val="center"/>
            </w:pPr>
            <w:r/>
            <w:r>
              <w:rPr>
                <w:rFonts w:ascii="仿宋_GB2312" w:hAnsi="仿宋_GB2312" w:eastAsia="仿宋_GB2312"/>
                <w:b w:val="0"/>
                <w:color w:val="000000"/>
                <w:sz w:val="32"/>
              </w:rPr>
              <w:t>山东省菏泽市牡丹区沙土镇</w:t>
            </w:r>
          </w:p>
        </w:tc>
      </w:tr>
      <w:tr>
        <w:tc>
          <w:tcPr>
            <w:tcW w:type="dxa" w:w="2551"/>
          </w:tcPr>
          <w:p>
            <w:pPr>
              <w:spacing w:lineRule="exact" w:line="600"/>
              <w:jc w:val="center"/>
            </w:pPr>
            <w:r/>
            <w:r>
              <w:rPr>
                <w:rFonts w:ascii="仿宋_GB2312" w:hAnsi="仿宋_GB2312" w:eastAsia="仿宋_GB2312"/>
                <w:b w:val="0"/>
                <w:color w:val="000000"/>
                <w:sz w:val="32"/>
              </w:rPr>
              <w:t>经营范围</w:t>
            </w:r>
          </w:p>
        </w:tc>
        <w:tc>
          <w:tcPr>
            <w:tcW w:type="dxa" w:w="6803"/>
          </w:tcPr>
          <w:p>
            <w:pPr>
              <w:spacing w:lineRule="exact" w:line="600"/>
              <w:jc w:val="center"/>
            </w:pPr>
            <w:r/>
            <w:r>
              <w:rPr>
                <w:rFonts w:ascii="仿宋_GB2312" w:hAnsi="仿宋_GB2312" w:eastAsia="仿宋_GB2312"/>
                <w:b w:val="0"/>
                <w:color w:val="000000"/>
                <w:sz w:val="32"/>
              </w:rPr>
              <w:t>蔬菜制品：蔬菜干制品（热风干燥蔬菜）、脱水蔬菜、食用菌加工储存销售等</w:t>
            </w:r>
          </w:p>
        </w:tc>
      </w:tr>
      <w:tr>
        <w:tc>
          <w:tcPr>
            <w:tcW w:type="dxa" w:w="2551"/>
          </w:tcPr>
          <w:p>
            <w:pPr>
              <w:spacing w:lineRule="exact" w:line="600"/>
              <w:jc w:val="center"/>
            </w:pPr>
            <w:r/>
            <w:r>
              <w:rPr>
                <w:rFonts w:ascii="仿宋_GB2312" w:hAnsi="仿宋_GB2312" w:eastAsia="仿宋_GB2312"/>
                <w:b w:val="0"/>
                <w:color w:val="000000"/>
                <w:sz w:val="32"/>
              </w:rPr>
              <w:t>荣誉</w:t>
            </w:r>
          </w:p>
        </w:tc>
        <w:tc>
          <w:tcPr>
            <w:tcW w:type="dxa" w:w="6803"/>
          </w:tcPr>
          <w:p>
            <w:pPr>
              <w:spacing w:lineRule="exact" w:line="600"/>
              <w:jc w:val="center"/>
            </w:pPr>
            <w:r/>
            <w:r>
              <w:rPr>
                <w:rFonts w:ascii="仿宋_GB2312" w:hAnsi="仿宋_GB2312" w:eastAsia="仿宋_GB2312"/>
                <w:b w:val="0"/>
                <w:color w:val="000000"/>
                <w:sz w:val="32"/>
              </w:rPr>
              <w:t>省级农业产业化重点龙头企业、国家级科技型中小企业（2025）</w:t>
            </w:r>
          </w:p>
        </w:tc>
      </w:tr>
    </w:tbl>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自然人独资企业，治理结构简洁：袁来需任法定代表人、执行董事、总经理兼财务负责人，付爱玲任监事。公司在内蒙古、山西、河北、河南等地设有分公司，形成跨区域布局。现有员工300多人，大专以上学历36人。</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2007年公司在沙土镇成立，专注脱水蔬菜加工；2016年与山东农业大学、青岛农业大学合作，经市政府批准成立"菏泽市脱水蔬菜加工工程技术研究中心"及"山东农业大学教学科研实践育人基地"；2023年3月注册资本由200万元增至1800万元；2024年与山东庆云大叶香菜科技小院达成香菜精深加工合作；2025年获国家级科技型中小企业、省级农业产业化重点龙头企业称号，并授权"一种植物蛋白原料处理机构"实用新型专利，立项冷库扩建与高品质露地蔬菜绿色生产关键技术产业化项目。</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集脱水蔬菜种植、研发、生产、销售于一体的蔬菜深加工企业，是沙土镇食品产业集群中脱水蔬菜细分领域的骨干。主营业务为脱水甘蓝、胡萝卜、青葱、洋葱、番茄等30多个品种脱水蔬菜的生产销售，并为米村拌饭等连锁餐饮提供脱水预制菜产品。</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业务以脱水蔬菜为主，辅以脱水预制菜（供连锁餐饮）。公司年产脱水蔬菜5000余吨，2022年销售收入达8000多万元（公开报道口径）。</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主要产品：脱水甘蓝、脱水荠菜、脱水马齿苋、青葱、胡萝卜、大白菜、青梗菜、野泽菜、白萝卜、番茄、洋葱、冬瓜、茄子、茼蒿、姜粉等30多个品种；新增马铃薯、紫薯、南瓜、脱水山药、胡萝卜等脱水蔬菜。同时为米村拌饭等企业提供脱水预制菜。</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公司产品主要出口日本、韩国、欧美、东南亚等国家，国内销售以米村拌饭等连锁餐饮企业为主，并进入瑞幸咖啡等新兴饮品渠道（脱水蔬菜配料）。客户结构兼顾出口与内销。</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原料为各类蔬菜，公司拥有脱水蔬菜种植基地5500余亩，并与日本中部饲料公司（胡萝卜基地8000余亩）、韩国BSG国际（香葱、甘蓝等3600余亩）等合作建设原料基地，通过"基地+农户+公司"模式保障供应。</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公司占地面积3.75万平方米、建筑面积2万平方米，装有两条全自动生产线，通过ISO9001:2015、HACCP、清真、BRC体系认证。在内蒙古、山西、河北、河南设有分公司，布局原料与产能。</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采用"出口+连锁餐饮直供+内销"渠道，依托山东农业大学等院校研发支撑，产品技术含量与标准较高（BRC认证利于出口）。</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公开披露：年产脱水蔬菜5000余吨，2022年销售收入8000多万元，2025年获省级龙头企业称号。在沙土镇脱水蔬菜细分领域占据重要地位，但具体市场占有率未公开。</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菏泽市牡丹区盛鑫源食品有限公司为非上市民营企业，未公开披露经审计年度财务报表。以下数据来自公开报道与招聘信息，非审计口径。</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803"/>
          </w:tcPr>
          <w:p>
            <w:pPr>
              <w:spacing w:lineRule="exact" w:line="600"/>
              <w:jc w:val="center"/>
            </w:pPr>
            <w:r/>
            <w:r>
              <w:rPr>
                <w:rFonts w:ascii="黑体" w:hAnsi="黑体" w:eastAsia="黑体"/>
                <w:b/>
                <w:color w:val="000000"/>
                <w:sz w:val="32"/>
              </w:rPr>
              <w:t>可获信息</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803"/>
          </w:tcPr>
          <w:p>
            <w:pPr>
              <w:spacing w:lineRule="exact" w:line="600"/>
              <w:jc w:val="center"/>
            </w:pPr>
            <w:r/>
            <w:r>
              <w:rPr>
                <w:rFonts w:ascii="仿宋_GB2312" w:hAnsi="仿宋_GB2312" w:eastAsia="仿宋_GB2312"/>
                <w:b w:val="0"/>
                <w:color w:val="000000"/>
                <w:sz w:val="32"/>
              </w:rPr>
              <w:t>1800万元（2023年由200万增资）</w:t>
            </w:r>
          </w:p>
        </w:tc>
      </w:tr>
      <w:tr>
        <w:tc>
          <w:tcPr>
            <w:tcW w:type="dxa" w:w="2551"/>
          </w:tcPr>
          <w:p>
            <w:pPr>
              <w:spacing w:lineRule="exact" w:line="600"/>
              <w:jc w:val="center"/>
            </w:pPr>
            <w:r/>
            <w:r>
              <w:rPr>
                <w:rFonts w:ascii="仿宋_GB2312" w:hAnsi="仿宋_GB2312" w:eastAsia="仿宋_GB2312"/>
                <w:b w:val="0"/>
                <w:color w:val="000000"/>
                <w:sz w:val="32"/>
              </w:rPr>
              <w:t>2022年销售收入</w:t>
            </w:r>
          </w:p>
        </w:tc>
        <w:tc>
          <w:tcPr>
            <w:tcW w:type="dxa" w:w="6803"/>
          </w:tcPr>
          <w:p>
            <w:pPr>
              <w:spacing w:lineRule="exact" w:line="600"/>
              <w:jc w:val="center"/>
            </w:pPr>
            <w:r/>
            <w:r>
              <w:rPr>
                <w:rFonts w:ascii="仿宋_GB2312" w:hAnsi="仿宋_GB2312" w:eastAsia="仿宋_GB2312"/>
                <w:b w:val="0"/>
                <w:color w:val="000000"/>
                <w:sz w:val="32"/>
              </w:rPr>
              <w:t>8000多万元</w:t>
            </w:r>
          </w:p>
        </w:tc>
      </w:tr>
      <w:tr>
        <w:tc>
          <w:tcPr>
            <w:tcW w:type="dxa" w:w="2551"/>
          </w:tcPr>
          <w:p>
            <w:pPr>
              <w:spacing w:lineRule="exact" w:line="600"/>
              <w:jc w:val="center"/>
            </w:pPr>
            <w:r/>
            <w:r>
              <w:rPr>
                <w:rFonts w:ascii="仿宋_GB2312" w:hAnsi="仿宋_GB2312" w:eastAsia="仿宋_GB2312"/>
                <w:b w:val="0"/>
                <w:color w:val="000000"/>
                <w:sz w:val="32"/>
              </w:rPr>
              <w:t>年产量</w:t>
            </w:r>
          </w:p>
        </w:tc>
        <w:tc>
          <w:tcPr>
            <w:tcW w:type="dxa" w:w="6803"/>
          </w:tcPr>
          <w:p>
            <w:pPr>
              <w:spacing w:lineRule="exact" w:line="600"/>
              <w:jc w:val="center"/>
            </w:pPr>
            <w:r/>
            <w:r>
              <w:rPr>
                <w:rFonts w:ascii="仿宋_GB2312" w:hAnsi="仿宋_GB2312" w:eastAsia="仿宋_GB2312"/>
                <w:b w:val="0"/>
                <w:color w:val="000000"/>
                <w:sz w:val="32"/>
              </w:rPr>
              <w:t>脱水蔬菜5000余吨</w:t>
            </w:r>
          </w:p>
        </w:tc>
      </w:tr>
      <w:tr>
        <w:tc>
          <w:tcPr>
            <w:tcW w:type="dxa" w:w="2551"/>
          </w:tcPr>
          <w:p>
            <w:pPr>
              <w:spacing w:lineRule="exact" w:line="600"/>
              <w:jc w:val="center"/>
            </w:pPr>
            <w:r/>
            <w:r>
              <w:rPr>
                <w:rFonts w:ascii="仿宋_GB2312" w:hAnsi="仿宋_GB2312" w:eastAsia="仿宋_GB2312"/>
                <w:b w:val="0"/>
                <w:color w:val="000000"/>
                <w:sz w:val="32"/>
              </w:rPr>
              <w:t>固定资产</w:t>
            </w:r>
          </w:p>
        </w:tc>
        <w:tc>
          <w:tcPr>
            <w:tcW w:type="dxa" w:w="6803"/>
          </w:tcPr>
          <w:p>
            <w:pPr>
              <w:spacing w:lineRule="exact" w:line="600"/>
              <w:jc w:val="center"/>
            </w:pPr>
            <w:r/>
            <w:r>
              <w:rPr>
                <w:rFonts w:ascii="仿宋_GB2312" w:hAnsi="仿宋_GB2312" w:eastAsia="仿宋_GB2312"/>
                <w:b w:val="0"/>
                <w:color w:val="000000"/>
                <w:sz w:val="32"/>
              </w:rPr>
              <w:t>约6586.99万元（历史口径）</w:t>
            </w:r>
          </w:p>
        </w:tc>
      </w:tr>
      <w:tr>
        <w:tc>
          <w:tcPr>
            <w:tcW w:type="dxa" w:w="2551"/>
          </w:tcPr>
          <w:p>
            <w:pPr>
              <w:spacing w:lineRule="exact" w:line="600"/>
              <w:jc w:val="center"/>
            </w:pPr>
            <w:r/>
            <w:r>
              <w:rPr>
                <w:rFonts w:ascii="仿宋_GB2312" w:hAnsi="仿宋_GB2312" w:eastAsia="仿宋_GB2312"/>
                <w:b w:val="0"/>
                <w:color w:val="000000"/>
                <w:sz w:val="32"/>
              </w:rPr>
              <w:t>审计财报</w:t>
            </w:r>
          </w:p>
        </w:tc>
        <w:tc>
          <w:tcPr>
            <w:tcW w:type="dxa" w:w="6803"/>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2022年销售收入8000多万元，作为脱水蔬菜加工企业，毛利率受原料价格与出口汇率影响；具体盈利指标未公开。公司持续盈利并获省级龙头企业认定，经营状况稳健。</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公司占地3.75万平方米、固定资产约6586.99万元，两条全自动生产线，资产以厂房设备与基地为主，质量较优。</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财务数据未公开。自然人独资企业，预计以经营性负债为主，偿债压力可控。</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出口业务带来外汇流入，回款相对稳定；具体经营现金流未公开。</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与同集群的佳美食品（超10亿）、沙土食品（3.1亿）相比规模较小，但在脱水蔬菜出口细分领域具专业优势。</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自然人独资企业，袁来需集法定代表人、执行董事、总经理、财务负责人于一身，治理高度集中。</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法定代表人袁来需主导经营；付爱玲任监事。管理层具多年脱水蔬菜行业经验。</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通过ISO9001、HACCP、BRC等体系认证，内控与质量管控达出口标准。</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员工300多人，大专以上36人，与山东农业大学、青岛农业大学建立产学研合作，研发与人才支撑较强。</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认证与出口壁垒：通过BRC、HACCP、ISO9001、清真等认证，具备出口发达国家资质壁垒。</w:t>
      </w:r>
    </w:p>
    <w:p>
      <w:pPr>
        <w:spacing w:lineRule="exact" w:line="600" w:before="0" w:after="0"/>
        <w:ind w:firstLine="420"/>
        <w:jc w:val="both"/>
      </w:pPr>
      <w:r>
        <w:rPr>
          <w:rFonts w:ascii="仿宋_GB2312" w:hAnsi="仿宋_GB2312" w:eastAsia="仿宋_GB2312"/>
          <w:b w:val="0"/>
          <w:color w:val="000000"/>
          <w:sz w:val="32"/>
        </w:rPr>
        <w:t>研发与产学研：依托脱水蔬菜工程技术研究中心与高校合作，技术迭代能力强。</w:t>
      </w:r>
    </w:p>
    <w:p>
      <w:pPr>
        <w:spacing w:lineRule="exact" w:line="600" w:before="0" w:after="0"/>
        <w:ind w:firstLine="420"/>
        <w:jc w:val="both"/>
      </w:pPr>
      <w:r>
        <w:rPr>
          <w:rFonts w:ascii="仿宋_GB2312" w:hAnsi="仿宋_GB2312" w:eastAsia="仿宋_GB2312"/>
          <w:b w:val="0"/>
          <w:color w:val="000000"/>
          <w:sz w:val="32"/>
        </w:rPr>
        <w:t>基地与成本：5500余亩自有基地+跨区域分公司布局，原料保障与成本优势明显。</w:t>
      </w:r>
    </w:p>
    <w:p>
      <w:pPr>
        <w:spacing w:lineRule="exact" w:line="600" w:before="0" w:after="0"/>
        <w:ind w:firstLine="420"/>
        <w:jc w:val="both"/>
      </w:pPr>
      <w:r>
        <w:rPr>
          <w:rFonts w:ascii="仿宋_GB2312" w:hAnsi="仿宋_GB2312" w:eastAsia="仿宋_GB2312"/>
          <w:b w:val="0"/>
          <w:color w:val="000000"/>
          <w:sz w:val="32"/>
        </w:rPr>
        <w:t>客户渠道：稳定出口日韩欧美+连锁餐饮直供，渠道质量高。</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（一）行业风险</w:t>
      </w:r>
    </w:p>
    <w:p>
      <w:pPr>
        <w:spacing w:lineRule="exact" w:line="600" w:before="0" w:after="0"/>
        <w:ind w:firstLine="420"/>
        <w:jc w:val="both"/>
      </w:pPr>
      <w:r>
        <w:rPr>
          <w:rFonts w:ascii="仿宋_GB2312" w:hAnsi="仿宋_GB2312" w:eastAsia="仿宋_GB2312"/>
          <w:b w:val="0"/>
          <w:color w:val="000000"/>
          <w:sz w:val="32"/>
        </w:rPr>
        <w:t>脱水蔬菜出口受国际贸易政策、汇率、目的国检疫标准变化影响；国内休闲食品需求波动亦传导至上游。</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客户与出口市场集中，单一市场波动影响大；原料价格季节波动影响成本。</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财务未公开审计；自然人独资结构下资本实力相对有限。</w:t>
      </w:r>
    </w:p>
    <w:p>
      <w:pPr>
        <w:spacing w:lineRule="exact" w:line="600" w:before="120" w:after="120"/>
        <w:ind w:firstLine="420"/>
        <w:jc w:val="left"/>
      </w:pPr>
      <w:r>
        <w:rPr>
          <w:rFonts w:ascii="楷体_GB2312" w:hAnsi="楷体_GB2312" w:eastAsia="楷体_GB2312"/>
          <w:b w:val="0"/>
          <w:color w:val="000000"/>
          <w:sz w:val="32"/>
        </w:rPr>
        <w:t>（四）合规风险</w:t>
      </w:r>
    </w:p>
    <w:p>
      <w:pPr>
        <w:spacing w:lineRule="exact" w:line="600" w:before="0" w:after="0"/>
        <w:ind w:firstLine="420"/>
        <w:jc w:val="both"/>
      </w:pPr>
      <w:r>
        <w:rPr>
          <w:rFonts w:ascii="仿宋_GB2312" w:hAnsi="仿宋_GB2312" w:eastAsia="仿宋_GB2312"/>
          <w:b w:val="0"/>
          <w:color w:val="000000"/>
          <w:sz w:val="32"/>
        </w:rPr>
        <w:t>出口食品需满足多国标准，合规要求高；若存在农残、微生物超标将影响出口资格。</w:t>
      </w:r>
    </w:p>
    <w:p>
      <w:pPr>
        <w:spacing w:lineRule="exact" w:line="600" w:before="120" w:after="120"/>
        <w:ind w:firstLine="420"/>
        <w:jc w:val="left"/>
      </w:pPr>
      <w:r>
        <w:rPr>
          <w:rFonts w:ascii="楷体_GB2312" w:hAnsi="楷体_GB2312" w:eastAsia="楷体_GB2312"/>
          <w:b w:val="0"/>
          <w:color w:val="000000"/>
          <w:sz w:val="32"/>
        </w:rPr>
        <w:t>（五）应对措施</w:t>
      </w:r>
    </w:p>
    <w:p>
      <w:pPr>
        <w:spacing w:lineRule="exact" w:line="600" w:before="0" w:after="0"/>
        <w:ind w:firstLine="420"/>
        <w:jc w:val="both"/>
      </w:pPr>
      <w:r>
        <w:rPr>
          <w:rFonts w:ascii="仿宋_GB2312" w:hAnsi="仿宋_GB2312" w:eastAsia="仿宋_GB2312"/>
          <w:b w:val="0"/>
          <w:color w:val="000000"/>
          <w:sz w:val="32"/>
        </w:rPr>
        <w:t>持续强化认证与质量体系；拓展多元出口市场与内销渠道；深化产学研提升产品附加值；稳固原料基地。</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保理业务：出口应收账款可开展保理，改善外汇回款周期。</w:t>
      </w:r>
    </w:p>
    <w:p>
      <w:pPr>
        <w:spacing w:lineRule="exact" w:line="600" w:before="0" w:after="0"/>
        <w:ind w:firstLine="420"/>
        <w:jc w:val="both"/>
      </w:pPr>
      <w:r>
        <w:rPr>
          <w:rFonts w:ascii="仿宋_GB2312" w:hAnsi="仿宋_GB2312" w:eastAsia="仿宋_GB2312"/>
          <w:b w:val="0"/>
          <w:color w:val="000000"/>
          <w:sz w:val="32"/>
        </w:rPr>
        <w:t>供应链金融：以盛鑫源为核心，为上游种植户与原料基地提供订单融资、存货质押等供应链金融服务。</w:t>
      </w:r>
    </w:p>
    <w:p>
      <w:pPr>
        <w:spacing w:lineRule="exact" w:line="600" w:before="0" w:after="0"/>
        <w:ind w:firstLine="420"/>
        <w:jc w:val="both"/>
      </w:pPr>
      <w:r>
        <w:rPr>
          <w:rFonts w:ascii="仿宋_GB2312" w:hAnsi="仿宋_GB2312" w:eastAsia="仿宋_GB2312"/>
          <w:b w:val="0"/>
          <w:color w:val="000000"/>
          <w:sz w:val="32"/>
        </w:rPr>
        <w:t>融资租赁：全自动生产线、冷库扩建（2025年立项）可通过融资租赁获取设备。</w:t>
      </w:r>
    </w:p>
    <w:p>
      <w:pPr>
        <w:spacing w:lineRule="exact" w:line="600" w:before="0" w:after="0"/>
        <w:ind w:firstLine="420"/>
        <w:jc w:val="both"/>
      </w:pPr>
      <w:r>
        <w:rPr>
          <w:rFonts w:ascii="仿宋_GB2312" w:hAnsi="仿宋_GB2312" w:eastAsia="仿宋_GB2312"/>
          <w:b w:val="0"/>
          <w:color w:val="000000"/>
          <w:sz w:val="32"/>
        </w:rPr>
        <w:t>小额贷款：为上游农户与小微配套商提供季节性收购周转小贷。</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综合评价：菏泽盛鑫源食品有限公司是沙土镇食品产业集群中脱水蔬菜出口细分领域的专业骨干，认证齐全、产学研基础扎实、获省级龙头企业认定，综合实力稳健。</w:t>
      </w:r>
    </w:p>
    <w:p>
      <w:pPr>
        <w:spacing w:lineRule="exact" w:line="600" w:before="0" w:after="0"/>
        <w:ind w:firstLine="420"/>
        <w:jc w:val="both"/>
      </w:pPr>
      <w:r>
        <w:rPr>
          <w:rFonts w:ascii="仿宋_GB2312" w:hAnsi="仿宋_GB2312" w:eastAsia="仿宋_GB2312"/>
          <w:b w:val="0"/>
          <w:color w:val="000000"/>
          <w:sz w:val="32"/>
        </w:rPr>
        <w:t>发展展望：2025年冷库扩建与绿色生产技术产业化项目立项，有望提升产能与附加值；预制菜（脱水）赛道契合连锁餐饮标准化趋势。</w:t>
      </w:r>
    </w:p>
    <w:p>
      <w:pPr>
        <w:spacing w:lineRule="exact" w:line="600" w:before="0" w:after="0"/>
        <w:ind w:firstLine="420"/>
        <w:jc w:val="both"/>
      </w:pPr>
      <w:r>
        <w:rPr>
          <w:rFonts w:ascii="仿宋_GB2312" w:hAnsi="仿宋_GB2312" w:eastAsia="仿宋_GB2312"/>
          <w:b w:val="0"/>
          <w:color w:val="000000"/>
          <w:sz w:val="32"/>
        </w:rPr>
        <w:t>挑战：出口市场集中、汇率与贸易政策风险、规模相对有限、财务透明度不足。</w:t>
      </w:r>
    </w:p>
    <w:p>
      <w:pPr>
        <w:spacing w:lineRule="exact" w:line="600" w:before="0" w:after="0"/>
        <w:ind w:firstLine="420"/>
        <w:jc w:val="both"/>
      </w:pPr>
      <w:r>
        <w:rPr>
          <w:rFonts w:ascii="仿宋_GB2312" w:hAnsi="仿宋_GB2312" w:eastAsia="仿宋_GB2312"/>
          <w:b w:val="0"/>
          <w:color w:val="000000"/>
          <w:sz w:val="32"/>
        </w:rPr>
        <w:t>建议：一是规范财务披露，提升信用与融资能力；二是拓展内销与多元出口市场；三是深化与山东投资在供应链金融、融资租赁领域的合作；四是依托产学研持续升级产品。</w:t>
      </w:r>
    </w:p>
    <w:p>
      <w:pPr>
        <w:spacing w:lineRule="exact" w:line="600" w:before="0" w:after="0"/>
        <w:jc w:val="left"/>
      </w:pPr>
      <w:r>
        <w:rPr>
          <w:rFonts w:ascii="仿宋_GB2312" w:hAnsi="仿宋_GB2312" w:eastAsia="仿宋_GB2312"/>
          <w:b w:val="0"/>
          <w:color w:val="000000"/>
          <w:sz w:val="28"/>
        </w:rPr>
        <w:t>数据来源说明：本报告数据来源于百度百科、企业官网（hzshengxinyuan.com）、企业招聘信息（qlrc.com）、菏泽政府网及公开报道等渠道。财务数据为非审计公开口径，已标注来源；企业工商登记全称为"菏泽市牡丹区盛鑫源食品有限公司"。</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