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山东菏泽高新区(现代中药)特色产业集群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山东步长制药股份有限公司企业分析报告</w:t>
      </w:r>
    </w:p>
    <w:p>
      <w:pPr>
        <w:spacing w:lineRule="exact" w:line="600" w:before="0" w:after="0"/>
        <w:jc w:val="left"/>
      </w:pPr>
      <w:r>
        <w:rPr>
          <w:rFonts w:ascii="仿宋_GB2312" w:hAnsi="仿宋_GB2312" w:eastAsia="仿宋_GB2312"/>
          <w:b w:val="0"/>
          <w:color w:val="000000"/>
          <w:sz w:val="28"/>
        </w:rPr>
        <w:t>（本报告数据来源于上海证券交易所披露的公司年度报告、巨潮资讯网公告、天眼查/企查查工商登记信息、中国证券报及证券时报等权威媒体公开报道、公司官方网站等公开渠道，统计时点截至最新披露信息。涉及未经审计的第三方数据库口径数据已在文中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步长制药股份有限公司（以下简称"步长制药"、"公司"），统一社会信用代码91370000728611939A，成立于2001年5月10日，注册地址为山东省菏泽市牡丹区中华西路369号，登记机关为菏泽市市场监督管理局，企业类型为股份有限公司（港澳台投资、上市），登记状态为存续。公司注册资本105456.8442万元人民币，工商注册号371700400000462，组织机构代码72861193-9，法定代表人赵涛。公司英文名称为SHANDONG BUCHANG PHARMACEUTICALS CO.,LTD，官方网站为www.buchang.com。</w:t>
      </w:r>
    </w:p>
    <w:p>
      <w:pPr>
        <w:spacing w:lineRule="exact" w:line="600" w:before="0" w:after="0"/>
        <w:ind w:firstLine="420"/>
        <w:jc w:val="both"/>
      </w:pPr>
      <w:r>
        <w:rPr>
          <w:rFonts w:ascii="仿宋_GB2312" w:hAnsi="仿宋_GB2312" w:eastAsia="仿宋_GB2312"/>
          <w:b w:val="0"/>
          <w:color w:val="000000"/>
          <w:sz w:val="32"/>
        </w:rPr>
        <w:t>公司国民经济行业分类归属于医药制造业项下的中成药生产，核准经营范围为：片剂、硬胶囊剂、颗粒剂、丸剂（蜜丸、浓缩丸、水丸、水蜜丸）、口服液（依法须经批准的项目，经相关部门批准后方可开展经营活动）。公司为增值税一般纳税人。</w:t>
      </w:r>
    </w:p>
    <w:p>
      <w:pPr>
        <w:spacing w:lineRule="exact" w:line="600" w:before="0" w:after="0"/>
        <w:ind w:firstLine="420"/>
        <w:jc w:val="both"/>
      </w:pPr>
      <w:r>
        <w:rPr>
          <w:rFonts w:ascii="仿宋_GB2312" w:hAnsi="仿宋_GB2312" w:eastAsia="仿宋_GB2312"/>
          <w:b w:val="0"/>
          <w:color w:val="000000"/>
          <w:sz w:val="32"/>
        </w:rPr>
        <w:t>证券信息方面，公司股票在上海证券交易所主板挂牌交易，股票简称"步长制药"，股票代码603858，股票种类为A股，自上市以来未变更过证券简称。公司信息披露媒体为《中国证券报》《上海证券报》《证券时报》《证券日报》，交易所披露网址为www.sse.com.cn，年度报告备置地点为公司证券部。董事会秘书为王新，证券事务代表为吴兵，投资者关系邮箱为ir@buchang.com。</w:t>
      </w:r>
    </w:p>
    <w:p>
      <w:pPr>
        <w:spacing w:lineRule="exact" w:line="600" w:before="0" w:after="0"/>
        <w:ind w:firstLine="420"/>
        <w:jc w:val="both"/>
      </w:pPr>
      <w:r>
        <w:rPr>
          <w:rFonts w:ascii="仿宋_GB2312" w:hAnsi="仿宋_GB2312" w:eastAsia="仿宋_GB2312"/>
          <w:b w:val="0"/>
          <w:color w:val="000000"/>
          <w:sz w:val="32"/>
        </w:rPr>
        <w:t>股权结构方面，根据工商年报及交易所披露信息，公司控股股东为步长（香港）控股有限公司，持股比例约46.56%；第二大股东为首诚国际（香港）有限公司，持股比例约7.85%；其余为社会公众股及其他自然人、机构股东，其中刘少鸾持股约2.51%、杨伟持股约2.09%、西藏丹红企业管理有限公司持股约1.94%、香港中央结算有限公司持股约1.43%、蓝色经济区产业投资基金（有限合伙）持股约0.98%。工商年报口径下，步长控股认缴并实缴出资49095.7202万元、首诚国际认缴并实缴出资8274.24万元、社会公众合计53234.3043万元。</w:t>
      </w:r>
    </w:p>
    <w:p>
      <w:pPr>
        <w:spacing w:lineRule="exact" w:line="600" w:before="0" w:after="0"/>
        <w:ind w:firstLine="420"/>
        <w:jc w:val="both"/>
      </w:pPr>
      <w:r>
        <w:rPr>
          <w:rFonts w:ascii="仿宋_GB2312" w:hAnsi="仿宋_GB2312" w:eastAsia="仿宋_GB2312"/>
          <w:b w:val="0"/>
          <w:color w:val="000000"/>
          <w:sz w:val="32"/>
        </w:rPr>
        <w:t>实际控制人方面，公司实际控制人为赵涛家族。赵涛现任公司法定代表人、董事长，通过步长（香港）控股有限公司等主体间接控制公司多数股权，控制权结构清晰、稳定。公司具有港澳台投资背景，控股平台注册于香港，属于典型的境内经营、境外控股平台架构的民营上市医药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步长制药是一家以中成药为核心、化学药与生物药并进的综合性医药集团，组织架构上采取"母公司总部＋专业化生产子公司＋区域销售子公司＋研发平台"的多层级布局。母公司承担战略管理、财务管控、投融资、品牌与合规管理职能，各生产型子公司承担具体品种的生产制造与质量管理职能，销售型子公司承担渠道开发与终端推广职能。</w:t>
      </w:r>
    </w:p>
    <w:p>
      <w:pPr>
        <w:spacing w:lineRule="exact" w:line="600" w:before="0" w:after="0"/>
        <w:ind w:firstLine="420"/>
        <w:jc w:val="both"/>
      </w:pPr>
      <w:r>
        <w:rPr>
          <w:rFonts w:ascii="仿宋_GB2312" w:hAnsi="仿宋_GB2312" w:eastAsia="仿宋_GB2312"/>
          <w:b w:val="0"/>
          <w:color w:val="000000"/>
          <w:sz w:val="32"/>
        </w:rPr>
        <w:t>生产制造板块的主要子公司包括：山东丹红制药有限公司、山东步长神州制药有限公司、陕西步长制药有限公司、陕西步长高新制药有限公司、保定天浩制药有限公司、通化谷红制药有限公司、吉林天成制药有限公司、通化天实制药有限公司、吉林四长制药有限公司、杨凌步长制药有限公司、山东康爱制药有限公司、四川泸州步长生物制药有限公司、辽宁奥达制药有限公司、邛崃天银制药有限公司、梅河口步长制药有限公司等。上述主体覆盖山东、陕西、吉林、四川、河北、辽宁等多个省份，形成了跨区域的生产基地网络。</w:t>
      </w:r>
    </w:p>
    <w:p>
      <w:pPr>
        <w:spacing w:lineRule="exact" w:line="600" w:before="0" w:after="0"/>
        <w:ind w:firstLine="420"/>
        <w:jc w:val="both"/>
      </w:pPr>
      <w:r>
        <w:rPr>
          <w:rFonts w:ascii="仿宋_GB2312" w:hAnsi="仿宋_GB2312" w:eastAsia="仿宋_GB2312"/>
          <w:b w:val="0"/>
          <w:color w:val="000000"/>
          <w:sz w:val="32"/>
        </w:rPr>
        <w:t>商业流通与销售板块的主要子公司包括：山东步长医药销售有限公司、吉林步长医药销售有限公司、梅河口天宇医药销售有限公司、咸阳步长贸易发展有限公司、北京安和康医药有限公司、山东步长启航医药销售有限公司、西安步长启航药房有限责任公司、宁波步长贸易有限公司、上海盛秦医药咨询有限公司、广州步长医药咨询有限公司、西藏瑞祥医药科技有限公司、西藏鸿发医药科技发展有限公司等。</w:t>
      </w:r>
    </w:p>
    <w:p>
      <w:pPr>
        <w:spacing w:lineRule="exact" w:line="600" w:before="0" w:after="0"/>
        <w:ind w:firstLine="420"/>
        <w:jc w:val="both"/>
      </w:pPr>
      <w:r>
        <w:rPr>
          <w:rFonts w:ascii="仿宋_GB2312" w:hAnsi="仿宋_GB2312" w:eastAsia="仿宋_GB2312"/>
          <w:b w:val="0"/>
          <w:color w:val="000000"/>
          <w:sz w:val="32"/>
        </w:rPr>
        <w:t>研发与新兴业务板块的主要子公司包括：北京步长新药研发有限公司、浙江华派生物医药有限公司、浙江天元生物药业有限公司、重庆市汉通生物科技有限公司、重庆市医济堂生物制品有限公司、北京普恩光德生物科技开发有限公司、长睿生物技术（成都）有限公司、湖南众测生物科技有限公司、长沙众测生物科技有限公司、步长（广州）医学诊断技术有限公司、上海合璞医疗科技有限公司等，覆盖疫苗、生物制品、体外诊断、医学检验等方向。</w:t>
      </w:r>
    </w:p>
    <w:p>
      <w:pPr>
        <w:spacing w:lineRule="exact" w:line="600" w:before="0" w:after="0"/>
        <w:ind w:firstLine="420"/>
        <w:jc w:val="both"/>
      </w:pPr>
      <w:r>
        <w:rPr>
          <w:rFonts w:ascii="仿宋_GB2312" w:hAnsi="仿宋_GB2312" w:eastAsia="仿宋_GB2312"/>
          <w:b w:val="0"/>
          <w:color w:val="000000"/>
          <w:sz w:val="32"/>
        </w:rPr>
        <w:t>大健康与配套服务板块包括步长健康科技有限公司、步长医疗科技有限公司、步长健康产业（西安）有限责任公司、步长健康产业（浙江）有限公司、宁波步长生命科技有限公司、宁波步长医疗科技有限公司、陕西步长生命科技有限公司、尚志市步长生物医疗科技有限公司等；此外公司还设有天津步长健康产业融资租赁有限公司，具备产融结合的金融服务牌照资源，以及丹红（香港）科技有限公司、神州科技有限公司等境外主体。</w:t>
      </w:r>
    </w:p>
    <w:p>
      <w:pPr>
        <w:spacing w:lineRule="exact" w:line="600" w:before="0" w:after="0"/>
        <w:ind w:firstLine="420"/>
        <w:jc w:val="both"/>
      </w:pPr>
      <w:r>
        <w:rPr>
          <w:rFonts w:ascii="仿宋_GB2312" w:hAnsi="仿宋_GB2312" w:eastAsia="仿宋_GB2312"/>
          <w:b w:val="0"/>
          <w:color w:val="000000"/>
          <w:sz w:val="32"/>
        </w:rPr>
        <w:t>总体来看，公司组织架构层级较多、法人主体数量庞大，横向覆盖研发、生产、流通、终端、金融服务全链条，纵向延伸至疫苗、诊断、医疗器械等新兴赛道。这种架构有利于分品种、分区域实施精细化管理和政策适配，但也对集团合并层面的内控统一性、资金归集效率与商誉管理提出了较高要求。</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2001年5月，公司在山东省菏泽市注册设立，起步阶段即定位于中成药的研发与生产制造，依托菏泽丰富的中药材资源禀赋和鲁西南的区位条件开展经营。</w:t>
      </w:r>
    </w:p>
    <w:p>
      <w:pPr>
        <w:spacing w:lineRule="exact" w:line="600" w:before="0" w:after="0"/>
        <w:ind w:firstLine="420"/>
        <w:jc w:val="both"/>
      </w:pPr>
      <w:r>
        <w:rPr>
          <w:rFonts w:ascii="仿宋_GB2312" w:hAnsi="仿宋_GB2312" w:eastAsia="仿宋_GB2312"/>
          <w:b w:val="0"/>
          <w:color w:val="000000"/>
          <w:sz w:val="32"/>
        </w:rPr>
        <w:t>2012年，公司完成股份制改制，由有限责任公司整体变更为股份有限公司，建立起较为规范的法人治理结构，为后续资本市场运作奠定基础。</w:t>
      </w:r>
    </w:p>
    <w:p>
      <w:pPr>
        <w:spacing w:lineRule="exact" w:line="600" w:before="0" w:after="0"/>
        <w:ind w:firstLine="420"/>
        <w:jc w:val="both"/>
      </w:pPr>
      <w:r>
        <w:rPr>
          <w:rFonts w:ascii="仿宋_GB2312" w:hAnsi="仿宋_GB2312" w:eastAsia="仿宋_GB2312"/>
          <w:b w:val="0"/>
          <w:color w:val="000000"/>
          <w:sz w:val="32"/>
        </w:rPr>
        <w:t>2016年7月，公司首次公开发行股票申请通过中国证监会发行审核委员会审核；2016年11月18日，公司股票在上海证券交易所正式挂牌上市，证券代码603858，成为菏泽市乃至鲁西南地区标志性的A股上市医药企业。</w:t>
      </w:r>
    </w:p>
    <w:p>
      <w:pPr>
        <w:spacing w:lineRule="exact" w:line="600" w:before="0" w:after="0"/>
        <w:ind w:firstLine="420"/>
        <w:jc w:val="both"/>
      </w:pPr>
      <w:r>
        <w:rPr>
          <w:rFonts w:ascii="仿宋_GB2312" w:hAnsi="仿宋_GB2312" w:eastAsia="仿宋_GB2312"/>
          <w:b w:val="0"/>
          <w:color w:val="000000"/>
          <w:sz w:val="32"/>
        </w:rPr>
        <w:t>上市之后，公司围绕"聚焦大病种、培育大品种"的战略主线，通过外延并购与内生培育双轮驱动，先后将通化谷红制药、吉林天成制药、保定天浩制药、辽宁奥达制药、邛崃天银制药等标的纳入合并范围，快速扩充产品文号池与生产资质，同时向化学药、生物药及疫苗领域延伸，形成中成药为主体、化药与生物药为两翼的产品格局。</w:t>
      </w:r>
    </w:p>
    <w:p>
      <w:pPr>
        <w:spacing w:lineRule="exact" w:line="600" w:before="0" w:after="0"/>
        <w:ind w:firstLine="420"/>
        <w:jc w:val="both"/>
      </w:pPr>
      <w:r>
        <w:rPr>
          <w:rFonts w:ascii="仿宋_GB2312" w:hAnsi="仿宋_GB2312" w:eastAsia="仿宋_GB2312"/>
          <w:b w:val="0"/>
          <w:color w:val="000000"/>
          <w:sz w:val="32"/>
        </w:rPr>
        <w:t>近年来，受医保目录调整、重点监控合理用药目录管理、药品集中带量采购常态化等行业政策影响，公司部分中药注射剂类品种销售承压。2024年度，由于全资子公司通化谷红和控股子公司吉林天成的多款产品相继被调出医保目录，叠加市场竞争加剧、市场开发不及预期，公司对相关资产组的商誉进行减值测试并计提商誉减值准备合计约8.53亿元，当年度出现上市以来首次年度亏损。2024年度公司未派发现金红利、不进行资本公积金转增股本、不送红股，同时公司采用集中竞价方式回购股份累计支付总金额约7.11亿元，并拟在股东会审议通过后注销上述已回购股份。</w:t>
      </w:r>
    </w:p>
    <w:p>
      <w:pPr>
        <w:spacing w:lineRule="exact" w:line="600" w:before="0" w:after="0"/>
        <w:ind w:firstLine="420"/>
        <w:jc w:val="both"/>
      </w:pPr>
      <w:r>
        <w:rPr>
          <w:rFonts w:ascii="仿宋_GB2312" w:hAnsi="仿宋_GB2312" w:eastAsia="仿宋_GB2312"/>
          <w:b w:val="0"/>
          <w:color w:val="000000"/>
          <w:sz w:val="32"/>
        </w:rPr>
        <w:t>进入2025年，公司持续推进产品结构调整、渠道优化与费用管控，经营指标出现修复。据第三方财务数据库口径，2025年度公司实现营业收入约118.75亿元、净利润约1.92亿元，实现扭亏；2026年第一季度实现营业收入约25.79亿元、净利润约3.03亿元。上述2025年度及2026年一季度数据以公开财务数据库归集口径列示，具体以公司正式披露的定期报告为准。</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可概括为"以专利中成药为核心，致力于中药现代化"。公司提出"聚焦大病种、培育大品种"的产品战略，充分发挥中药在心脑血管这一"大病、慢病"领域中的作用，形成立足心脑血管市场、覆盖中成药传统优势领域、聚焦大病种、培育大品种的立体产品格局。公司对外宣传口号为"中国的强生，世界的步长"，体现其打造综合性大健康集团的长期愿景。</w:t>
      </w:r>
    </w:p>
    <w:p>
      <w:pPr>
        <w:spacing w:lineRule="exact" w:line="600" w:before="0" w:after="0"/>
        <w:ind w:firstLine="420"/>
        <w:jc w:val="both"/>
      </w:pPr>
      <w:r>
        <w:rPr>
          <w:rFonts w:ascii="仿宋_GB2312" w:hAnsi="仿宋_GB2312" w:eastAsia="仿宋_GB2312"/>
          <w:b w:val="0"/>
          <w:color w:val="000000"/>
          <w:sz w:val="32"/>
        </w:rPr>
        <w:t>主营业务方面，公司主要从事中成药的研发、生产和销售，同时向化学药、生物药及疫苗等领域进军与扩张。按治疗领域划分，公司业务覆盖心脑血管、消化、泌尿、呼吸、骨科、妇科、儿科等多个方向，并配套发展医疗器械业务。</w:t>
      </w:r>
    </w:p>
    <w:p>
      <w:pPr>
        <w:spacing w:lineRule="exact" w:line="600" w:before="0" w:after="0"/>
        <w:ind w:firstLine="420"/>
        <w:jc w:val="both"/>
      </w:pPr>
      <w:r>
        <w:rPr>
          <w:rFonts w:ascii="仿宋_GB2312" w:hAnsi="仿宋_GB2312" w:eastAsia="仿宋_GB2312"/>
          <w:b w:val="0"/>
          <w:color w:val="000000"/>
          <w:sz w:val="32"/>
        </w:rPr>
        <w:t>核心产品方面，公司在心脑血管领域拥有多个专利中成药大品种，是公司收入与利润的主要来源；消化、泌尿领域产品毛利率水平较高，2024年度消化类、泌尿类产品毛利率分别达到76.76%和85.05%，是公司盈利质量较好的板块；医疗器械业务近年增长较快，2024年度收入同比增长42.53%，成为收入结构中的新增长点。</w:t>
      </w:r>
    </w:p>
    <w:p>
      <w:pPr>
        <w:spacing w:lineRule="exact" w:line="600" w:before="0" w:after="0"/>
        <w:ind w:firstLine="420"/>
        <w:jc w:val="both"/>
      </w:pPr>
      <w:r>
        <w:rPr>
          <w:rFonts w:ascii="仿宋_GB2312" w:hAnsi="仿宋_GB2312" w:eastAsia="仿宋_GB2312"/>
          <w:b w:val="0"/>
          <w:color w:val="000000"/>
          <w:sz w:val="32"/>
        </w:rPr>
        <w:t>在产业集群定位上，步长制药是山东菏泽高新区（现代中药）特色产业集群的核心龙头企业与链主企业。公司注册地与主要生产基地均位于菏泽，是菏泽现代中药产业链的骨干支撑，对区域内中药材种植、饮片加工、制剂生产、医药物流等上下游环节具有较强的带动作用，并在菏泽形成了明显的人才集聚、技术溢出与配套产业吸附效应。</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结构以治疗领域划分。根据2024年年度报告披露，2024年公司主营业务中：心脑血管类产品实现收入70.29亿元，同比下降23.36%，占营业收入的63.87%；医疗器械实现收入9.25亿元，同比增长42.53%，占营业收入的8.40%；消化类产品实现收入9.04亿元，同比下降1.59%，占营业收入的8.21%；泌尿类产品实现收入5.86亿元，同比增长2.00%，占营业收入的5.32%；呼吸类产品实现收入5.51亿元，同比下降17.00%，占营业收入的5.01%。其余为骨科、妇科、儿科等其他领域产品及原料药、贸易等收入。</w:t>
      </w:r>
    </w:p>
    <w:p>
      <w:pPr>
        <w:spacing w:lineRule="exact" w:line="600" w:before="0" w:after="0"/>
        <w:ind w:firstLine="420"/>
        <w:jc w:val="both"/>
      </w:pPr>
      <w:r>
        <w:rPr>
          <w:rFonts w:ascii="仿宋_GB2312" w:hAnsi="仿宋_GB2312" w:eastAsia="仿宋_GB2312"/>
          <w:b w:val="0"/>
          <w:color w:val="000000"/>
          <w:sz w:val="32"/>
        </w:rPr>
        <w:t>从结构特征看，心脑血管板块占比超过六成，是公司绝对的收入支柱，同时也是公司收入波动的主要来源。2024年该板块收入同比下滑逾两成，直接导致公司整体营业收入同比下降16.91%。这一集中度较高的结构在政策友好期能够放大盈利弹性，但在医保控费、重点监控目录管理等政策收紧阶段，也会显著放大业绩波动。</w:t>
      </w:r>
    </w:p>
    <w:p>
      <w:pPr>
        <w:spacing w:lineRule="exact" w:line="600" w:before="0" w:after="0"/>
        <w:ind w:firstLine="420"/>
        <w:jc w:val="both"/>
      </w:pPr>
      <w:r>
        <w:rPr>
          <w:rFonts w:ascii="仿宋_GB2312" w:hAnsi="仿宋_GB2312" w:eastAsia="仿宋_GB2312"/>
          <w:b w:val="0"/>
          <w:color w:val="000000"/>
          <w:sz w:val="32"/>
        </w:rPr>
        <w:t>医疗器械板块是近年结构调整的亮点，2024年逆势实现42.53%的增长，但其毛利率仅为6.67%，显著低于中成药板块，属于以规模换份额的阶段，对利润的贡献有限，短期内主要起到稳定收入规模、维护渠道黏性的作用。</w:t>
      </w:r>
    </w:p>
    <w:p>
      <w:pPr>
        <w:spacing w:lineRule="exact" w:line="600" w:before="0" w:after="0"/>
        <w:ind w:firstLine="420"/>
        <w:jc w:val="both"/>
      </w:pPr>
      <w:r>
        <w:rPr>
          <w:rFonts w:ascii="仿宋_GB2312" w:hAnsi="仿宋_GB2312" w:eastAsia="仿宋_GB2312"/>
          <w:b w:val="0"/>
          <w:color w:val="000000"/>
          <w:sz w:val="32"/>
        </w:rPr>
        <w:t>消化与泌尿板块虽然收入占比合计仅约13.5%，但毛利率分别高达76.76%和85.05%，是公司利润率的稳定器。未来若公司能够在这两个高毛利板块实现放量，将对整体盈利结构形成明显改善。</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公司产品体系以专利中成药为核心。心脑血管领域是公司最具优势的治疗领域，相关品种在临床应用中具备较高的医生认知度与处方基础，公司围绕这些品种持续开展循证医学再评价工作，力求以高质量临床证据支撑产品的临床价值与医保准入地位。</w:t>
      </w:r>
    </w:p>
    <w:p>
      <w:pPr>
        <w:spacing w:lineRule="exact" w:line="600" w:before="0" w:after="0"/>
        <w:ind w:firstLine="420"/>
        <w:jc w:val="both"/>
      </w:pPr>
      <w:r>
        <w:rPr>
          <w:rFonts w:ascii="仿宋_GB2312" w:hAnsi="仿宋_GB2312" w:eastAsia="仿宋_GB2312"/>
          <w:b w:val="0"/>
          <w:color w:val="000000"/>
          <w:sz w:val="32"/>
        </w:rPr>
        <w:t>在化学药领域，公司通过控股子公司布局多个化药文号，覆盖抗感染、心血管、神经系统等方向；在生物药及疫苗领域，公司通过浙江华派生物医药、浙江天元生物药业、重庆汉通生物科技、重庆医济堂生物制品等主体进行布局，属于长期战略性投入方向。</w:t>
      </w:r>
    </w:p>
    <w:p>
      <w:pPr>
        <w:spacing w:lineRule="exact" w:line="600" w:before="0" w:after="0"/>
        <w:ind w:firstLine="420"/>
        <w:jc w:val="both"/>
      </w:pPr>
      <w:r>
        <w:rPr>
          <w:rFonts w:ascii="仿宋_GB2312" w:hAnsi="仿宋_GB2312" w:eastAsia="仿宋_GB2312"/>
          <w:b w:val="0"/>
          <w:color w:val="000000"/>
          <w:sz w:val="32"/>
        </w:rPr>
        <w:t>体外诊断与医学检验方面，公司通过北京普恩光德生物科技、长睿生物技术（成都）、湖南众测生物科技、长沙众测生物科技、步长（广州）医学诊断技术等主体开展业务，形成对治疗类产品的诊疗一体化补充。</w:t>
      </w:r>
    </w:p>
    <w:p>
      <w:pPr>
        <w:spacing w:lineRule="exact" w:line="600" w:before="0" w:after="0"/>
        <w:ind w:firstLine="420"/>
        <w:jc w:val="both"/>
      </w:pPr>
      <w:r>
        <w:rPr>
          <w:rFonts w:ascii="仿宋_GB2312" w:hAnsi="仿宋_GB2312" w:eastAsia="仿宋_GB2312"/>
          <w:b w:val="0"/>
          <w:color w:val="000000"/>
          <w:sz w:val="32"/>
        </w:rPr>
        <w:t>大健康产品与服务方面，公司通过步长健康科技、步长健康产业（西安）、步长健康产业（浙江）等主体，围绕保健食品、健康管理、连锁药房（西安步长启航药房）等方向延伸，试图打通"药品—器械—诊断—健康服务"的全链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医药流通企业（全国性及区域性医药商业公司）、连锁药店和终端医疗机构。在两票制、集采常态化的行业环境下，公司销售模式以经销为主、直销为辅，通过全国性商业公司完成物流配送与资金结算，通过自有及第三方推广团队完成终端学术推广与处方培育。</w:t>
      </w:r>
    </w:p>
    <w:p>
      <w:pPr>
        <w:spacing w:lineRule="exact" w:line="600" w:before="0" w:after="0"/>
        <w:ind w:firstLine="420"/>
        <w:jc w:val="both"/>
      </w:pPr>
      <w:r>
        <w:rPr>
          <w:rFonts w:ascii="仿宋_GB2312" w:hAnsi="仿宋_GB2312" w:eastAsia="仿宋_GB2312"/>
          <w:b w:val="0"/>
          <w:color w:val="000000"/>
          <w:sz w:val="32"/>
        </w:rPr>
        <w:t>终端结构上，公司心脑血管类产品以等级医院和基层医疗机构处方市场为主，受医保目录与医院用药目录管理影响较大；OTC与大健康产品则以连锁药店零售终端为主，受政策影响相对较小，但对品牌力与终端动销能力要求更高。</w:t>
      </w:r>
    </w:p>
    <w:p>
      <w:pPr>
        <w:spacing w:lineRule="exact" w:line="600" w:before="0" w:after="0"/>
        <w:ind w:firstLine="420"/>
        <w:jc w:val="both"/>
      </w:pPr>
      <w:r>
        <w:rPr>
          <w:rFonts w:ascii="仿宋_GB2312" w:hAnsi="仿宋_GB2312" w:eastAsia="仿宋_GB2312"/>
          <w:b w:val="0"/>
          <w:color w:val="000000"/>
          <w:sz w:val="32"/>
        </w:rPr>
        <w:t>客户集中度方面，医药行业上市公司普遍存在前五大客户为大型商业流通集团的特征，公司亦不例外。此类客户信用资质总体良好，但账期相对较长，形成较大规模的应收账款，对公司营运资金占用较为明显，具体明细以公司定期报告披露为准。</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主要包括中药材及中药饮片、化学原料药及中间体、药用辅料、包装材料（玻璃瓶、胶塞、铝箔、纸盒等）以及能源动力等。其中中药材是中成药生产的核心投入品，其价格受种植面积、气候条件、产地政策与市场炒作等多重因素影响，波动性较强。</w:t>
      </w:r>
    </w:p>
    <w:p>
      <w:pPr>
        <w:spacing w:lineRule="exact" w:line="600" w:before="0" w:after="0"/>
        <w:ind w:firstLine="420"/>
        <w:jc w:val="both"/>
      </w:pPr>
      <w:r>
        <w:rPr>
          <w:rFonts w:ascii="仿宋_GB2312" w:hAnsi="仿宋_GB2312" w:eastAsia="仿宋_GB2312"/>
          <w:b w:val="0"/>
          <w:color w:val="000000"/>
          <w:sz w:val="32"/>
        </w:rPr>
        <w:t>为应对中药材价格波动，公司依托菏泽及周边中药材主产区的资源优势，通过与产地建立稳定采购关系、开展定向种植与订单农业合作、适度建立战略库存等方式平抑成本波动。这一做法同时也强化了公司与菏泽本地中药材种植环节的产业联结，对集群上游具有直接带动作用。</w:t>
      </w:r>
    </w:p>
    <w:p>
      <w:pPr>
        <w:spacing w:lineRule="exact" w:line="600" w:before="0" w:after="0"/>
        <w:ind w:firstLine="420"/>
        <w:jc w:val="both"/>
      </w:pPr>
      <w:r>
        <w:rPr>
          <w:rFonts w:ascii="仿宋_GB2312" w:hAnsi="仿宋_GB2312" w:eastAsia="仿宋_GB2312"/>
          <w:b w:val="0"/>
          <w:color w:val="000000"/>
          <w:sz w:val="32"/>
        </w:rPr>
        <w:t>在质量管理层面，公司对中药材供应商实行准入审核、来料检验与追溯管理，确保原料质量符合《中华人民共和国药典》及GMP要求。药品生产的强监管属性决定了供应商切换成本较高，公司与核心供应商总体保持长期稳定的合作关系。</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生产资质方面，公司及其子公司持有《药品生产许可证》《药品经营许可证》及相应品种的药品注册批件，生产线通过药品生产质量管理规范（GMP）符合性检查。公司经营范围明确涵盖片剂、硬胶囊剂、颗粒剂、丸剂（蜜丸、浓缩丸、水丸、水蜜丸）、口服液等剂型，子公司层面进一步覆盖注射剂、原料药、生物制品等剂型与类别。</w:t>
      </w:r>
    </w:p>
    <w:p>
      <w:pPr>
        <w:spacing w:lineRule="exact" w:line="600" w:before="0" w:after="0"/>
        <w:ind w:firstLine="420"/>
        <w:jc w:val="both"/>
      </w:pPr>
      <w:r>
        <w:rPr>
          <w:rFonts w:ascii="仿宋_GB2312" w:hAnsi="仿宋_GB2312" w:eastAsia="仿宋_GB2312"/>
          <w:b w:val="0"/>
          <w:color w:val="000000"/>
          <w:sz w:val="32"/>
        </w:rPr>
        <w:t>产能资源方面，公司在山东、陕西、吉林、四川、河北、辽宁等地布局多个生产基地，形成跨区域的产能网络。多基地布局有利于贴近原料产地与目标市场、分散区域性政策与安全环保风险，但也带来固定资产规模较大、产能利用率管理难度较高的问题。</w:t>
      </w:r>
    </w:p>
    <w:p>
      <w:pPr>
        <w:spacing w:lineRule="exact" w:line="600" w:before="0" w:after="0"/>
        <w:ind w:firstLine="420"/>
        <w:jc w:val="both"/>
      </w:pPr>
      <w:r>
        <w:rPr>
          <w:rFonts w:ascii="仿宋_GB2312" w:hAnsi="仿宋_GB2312" w:eastAsia="仿宋_GB2312"/>
          <w:b w:val="0"/>
          <w:color w:val="000000"/>
          <w:sz w:val="32"/>
        </w:rPr>
        <w:t>特殊牌照资源方面，公司下设天津步长健康产业融资租赁有限公司，具备融资租赁业务资质，可为集团内部及产业链客户提供设备融资租赁服务，是公司产融结合的重要抓手；公司同时设有西安步长启航药房，具备药品零售终端资质。</w:t>
      </w:r>
    </w:p>
    <w:p>
      <w:pPr>
        <w:spacing w:lineRule="exact" w:line="600" w:before="0" w:after="0"/>
        <w:ind w:firstLine="420"/>
        <w:jc w:val="both"/>
      </w:pPr>
      <w:r>
        <w:rPr>
          <w:rFonts w:ascii="仿宋_GB2312" w:hAnsi="仿宋_GB2312" w:eastAsia="仿宋_GB2312"/>
          <w:b w:val="0"/>
          <w:color w:val="000000"/>
          <w:sz w:val="32"/>
        </w:rPr>
        <w:t>研发资源方面，公司设有北京步长新药研发有限公司作为研发平台主体，围绕中药现代化、循证医学再评价、新药申报开展工作。截至2024年末公司员工总数7689人，其中包含相当规模的研发与学术推广队伍。</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构建了覆盖全国的销售网络，销售子公司分布于山东、吉林、陕西、广东、上海、宁波、西藏等地，形成"总部统筹＋区域落地"的渠道管理体系。销售模式以经销为主，通过与全国性和区域性医药商业公司合作实现全国终端覆盖。</w:t>
      </w:r>
    </w:p>
    <w:p>
      <w:pPr>
        <w:spacing w:lineRule="exact" w:line="600" w:before="0" w:after="0"/>
        <w:ind w:firstLine="420"/>
        <w:jc w:val="both"/>
      </w:pPr>
      <w:r>
        <w:rPr>
          <w:rFonts w:ascii="仿宋_GB2312" w:hAnsi="仿宋_GB2312" w:eastAsia="仿宋_GB2312"/>
          <w:b w:val="0"/>
          <w:color w:val="000000"/>
          <w:sz w:val="32"/>
        </w:rPr>
        <w:t>学术推广是公司心脑血管处方药销售的核心手段。公司持续投入循证医学研究，通过学术会议、临床研究、专家共识等方式建立产品的临床证据体系，以支撑医生处方决策。这一模式在过去支撑了公司大品种的快速放量，但也带来较高的销售费用率，在行业合规监管趋严背景下面临持续优化压力。</w:t>
      </w:r>
    </w:p>
    <w:p>
      <w:pPr>
        <w:spacing w:lineRule="exact" w:line="600" w:before="0" w:after="0"/>
        <w:ind w:firstLine="420"/>
        <w:jc w:val="both"/>
      </w:pPr>
      <w:r>
        <w:rPr>
          <w:rFonts w:ascii="仿宋_GB2312" w:hAnsi="仿宋_GB2312" w:eastAsia="仿宋_GB2312"/>
          <w:b w:val="0"/>
          <w:color w:val="000000"/>
          <w:sz w:val="32"/>
        </w:rPr>
        <w:t>渠道结构调整方面，公司近年加大对零售终端、基层医疗机构和线上渠道的开发力度，力图降低对等级医院单一渠道的依赖；同时通过医疗器械、大健康产品丰富渠道供给，提升单一客户的产品承载能力。</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规模指标方面，2024年公司实现营业总收入110.06亿元，在A股中药板块中处于第一梯队。人效指标方面，2024年末公司员工总数7689人，同比减少7.48%；人均创收143.14万元，同比下降10.19%；人均创利-7.2万元，同比下降287.66%；人均薪酬13.63万元，同比上升7.26%。人均创收下降、人均薪酬上升的组合反映出公司在收入下滑期人工成本刚性较强。</w:t>
      </w:r>
    </w:p>
    <w:p>
      <w:pPr>
        <w:spacing w:lineRule="exact" w:line="600" w:before="0" w:after="0"/>
        <w:ind w:firstLine="420"/>
        <w:jc w:val="both"/>
      </w:pPr>
      <w:r>
        <w:rPr>
          <w:rFonts w:ascii="仿宋_GB2312" w:hAnsi="仿宋_GB2312" w:eastAsia="仿宋_GB2312"/>
          <w:b w:val="0"/>
          <w:color w:val="000000"/>
          <w:sz w:val="32"/>
        </w:rPr>
        <w:t>行业地位方面，据中证智能财讯统计，截至2024年末公司三年营业总收入复合增长率为-11.29%，在中药Ⅲ行业已披露2024年数据的51家公司中排名第46位；三年净利润复合年增长率为-178.11%，排名第46位。这表明公司在本轮行业调整中承压程度高于行业平均水平，主要源于其收入结构对中药注射剂及医保目录内大品种的高度依赖。</w:t>
      </w:r>
    </w:p>
    <w:p>
      <w:pPr>
        <w:spacing w:lineRule="exact" w:line="600" w:before="0" w:after="0"/>
        <w:ind w:firstLine="420"/>
        <w:jc w:val="both"/>
      </w:pPr>
      <w:r>
        <w:rPr>
          <w:rFonts w:ascii="仿宋_GB2312" w:hAnsi="仿宋_GB2312" w:eastAsia="仿宋_GB2312"/>
          <w:b w:val="0"/>
          <w:color w:val="000000"/>
          <w:sz w:val="32"/>
        </w:rPr>
        <w:t>估值指标方面，以2025年4月25日收盘价计算，公司市盈率（TTM）约为-30.08倍（因亏损而为负值），市净率（LF）约1.63倍，市销率（TTM）约1.51倍。</w:t>
      </w:r>
    </w:p>
    <w:p>
      <w:pPr>
        <w:spacing w:lineRule="exact" w:line="600" w:before="0" w:after="0"/>
        <w:ind w:firstLine="420"/>
        <w:jc w:val="both"/>
      </w:pPr>
      <w:r>
        <w:rPr>
          <w:rFonts w:ascii="仿宋_GB2312" w:hAnsi="仿宋_GB2312" w:eastAsia="仿宋_GB2312"/>
          <w:b w:val="0"/>
          <w:color w:val="000000"/>
          <w:sz w:val="32"/>
        </w:rPr>
        <w:t>在区域层面，公司是菏泽市医药工业的绝对龙头，其营业收入体量在菏泽市工业企业中位居前列，对本地税收、就业与产业配套具有支柱性意义，是菏泽高新区现代中药特色产业集群的核心链主。</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下表列示公司近三年主要财务数据。其中2023年、2024年数据来源于公司经审计的年度报告及权威财经媒体转述；2025年数据来源于公开财务数据库归集口径，最终以公司正式披露的年度报告为准。单位：亿元。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381"/>
          </w:tcPr>
          <w:p>
            <w:pPr>
              <w:spacing w:lineRule="exact" w:line="600"/>
              <w:jc w:val="center"/>
            </w:pPr>
            <w:r/>
            <w:r>
              <w:rPr>
                <w:rFonts w:ascii="黑体" w:hAnsi="黑体" w:eastAsia="黑体"/>
                <w:b/>
                <w:color w:val="000000"/>
                <w:sz w:val="32"/>
              </w:rPr>
              <w:t>项目</w:t>
            </w:r>
          </w:p>
        </w:tc>
        <w:tc>
          <w:tcPr>
            <w:tcW w:type="dxa" w:w="1928"/>
          </w:tcPr>
          <w:p>
            <w:pPr>
              <w:spacing w:lineRule="exact" w:line="600"/>
              <w:jc w:val="center"/>
            </w:pPr>
            <w:r/>
            <w:r>
              <w:rPr>
                <w:rFonts w:ascii="黑体" w:hAnsi="黑体" w:eastAsia="黑体"/>
                <w:b/>
                <w:color w:val="000000"/>
                <w:sz w:val="32"/>
              </w:rPr>
              <w:t>2023年</w:t>
            </w:r>
          </w:p>
        </w:tc>
        <w:tc>
          <w:tcPr>
            <w:tcW w:type="dxa" w:w="1928"/>
          </w:tcPr>
          <w:p>
            <w:pPr>
              <w:spacing w:lineRule="exact" w:line="600"/>
              <w:jc w:val="center"/>
            </w:pPr>
            <w:r/>
            <w:r>
              <w:rPr>
                <w:rFonts w:ascii="黑体" w:hAnsi="黑体" w:eastAsia="黑体"/>
                <w:b/>
                <w:color w:val="000000"/>
                <w:sz w:val="32"/>
              </w:rPr>
              <w:t>2024年</w:t>
            </w:r>
          </w:p>
        </w:tc>
        <w:tc>
          <w:tcPr>
            <w:tcW w:type="dxa" w:w="1928"/>
          </w:tcPr>
          <w:p>
            <w:pPr>
              <w:spacing w:lineRule="exact" w:line="600"/>
              <w:jc w:val="center"/>
            </w:pPr>
            <w:r/>
            <w:r>
              <w:rPr>
                <w:rFonts w:ascii="黑体" w:hAnsi="黑体" w:eastAsia="黑体"/>
                <w:b/>
                <w:color w:val="000000"/>
                <w:sz w:val="32"/>
              </w:rPr>
              <w:t>2025年</w:t>
            </w:r>
          </w:p>
        </w:tc>
      </w:tr>
      <w:tr>
        <w:tc>
          <w:tcPr>
            <w:tcW w:type="dxa" w:w="2381"/>
          </w:tcPr>
          <w:p>
            <w:pPr>
              <w:spacing w:lineRule="exact" w:line="600"/>
              <w:jc w:val="center"/>
            </w:pPr>
            <w:r/>
            <w:r>
              <w:rPr>
                <w:rFonts w:ascii="仿宋_GB2312" w:hAnsi="仿宋_GB2312" w:eastAsia="仿宋_GB2312"/>
                <w:b w:val="0"/>
                <w:color w:val="000000"/>
                <w:sz w:val="32"/>
              </w:rPr>
              <w:t>营业总收入</w:t>
            </w:r>
          </w:p>
        </w:tc>
        <w:tc>
          <w:tcPr>
            <w:tcW w:type="dxa" w:w="1928"/>
          </w:tcPr>
          <w:p>
            <w:pPr>
              <w:spacing w:lineRule="exact" w:line="600"/>
              <w:jc w:val="center"/>
            </w:pPr>
            <w:r/>
            <w:r>
              <w:rPr>
                <w:rFonts w:ascii="仿宋_GB2312" w:hAnsi="仿宋_GB2312" w:eastAsia="仿宋_GB2312"/>
                <w:b w:val="0"/>
                <w:color w:val="000000"/>
                <w:sz w:val="32"/>
              </w:rPr>
              <w:t>132.45</w:t>
            </w:r>
          </w:p>
        </w:tc>
        <w:tc>
          <w:tcPr>
            <w:tcW w:type="dxa" w:w="1928"/>
          </w:tcPr>
          <w:p>
            <w:pPr>
              <w:spacing w:lineRule="exact" w:line="600"/>
              <w:jc w:val="center"/>
            </w:pPr>
            <w:r/>
            <w:r>
              <w:rPr>
                <w:rFonts w:ascii="仿宋_GB2312" w:hAnsi="仿宋_GB2312" w:eastAsia="仿宋_GB2312"/>
                <w:b w:val="0"/>
                <w:color w:val="000000"/>
                <w:sz w:val="32"/>
              </w:rPr>
              <w:t>110.06</w:t>
            </w:r>
          </w:p>
        </w:tc>
        <w:tc>
          <w:tcPr>
            <w:tcW w:type="dxa" w:w="1928"/>
          </w:tcPr>
          <w:p>
            <w:pPr>
              <w:spacing w:lineRule="exact" w:line="600"/>
              <w:jc w:val="center"/>
            </w:pPr>
            <w:r/>
            <w:r>
              <w:rPr>
                <w:rFonts w:ascii="仿宋_GB2312" w:hAnsi="仿宋_GB2312" w:eastAsia="仿宋_GB2312"/>
                <w:b w:val="0"/>
                <w:color w:val="000000"/>
                <w:sz w:val="32"/>
              </w:rPr>
              <w:t>118.75</w:t>
            </w:r>
          </w:p>
        </w:tc>
      </w:tr>
      <w:tr>
        <w:tc>
          <w:tcPr>
            <w:tcW w:type="dxa" w:w="2381"/>
          </w:tcPr>
          <w:p>
            <w:pPr>
              <w:spacing w:lineRule="exact" w:line="600"/>
              <w:jc w:val="center"/>
            </w:pPr>
            <w:r/>
            <w:r>
              <w:rPr>
                <w:rFonts w:ascii="仿宋_GB2312" w:hAnsi="仿宋_GB2312" w:eastAsia="仿宋_GB2312"/>
                <w:b w:val="0"/>
                <w:color w:val="000000"/>
                <w:sz w:val="32"/>
              </w:rPr>
              <w:t>归母净利润</w:t>
            </w:r>
          </w:p>
        </w:tc>
        <w:tc>
          <w:tcPr>
            <w:tcW w:type="dxa" w:w="1928"/>
          </w:tcPr>
          <w:p>
            <w:pPr>
              <w:spacing w:lineRule="exact" w:line="600"/>
              <w:jc w:val="center"/>
            </w:pPr>
            <w:r/>
            <w:r>
              <w:rPr>
                <w:rFonts w:ascii="仿宋_GB2312" w:hAnsi="仿宋_GB2312" w:eastAsia="仿宋_GB2312"/>
                <w:b w:val="0"/>
                <w:color w:val="000000"/>
                <w:sz w:val="32"/>
              </w:rPr>
              <w:t>3.19</w:t>
            </w:r>
          </w:p>
        </w:tc>
        <w:tc>
          <w:tcPr>
            <w:tcW w:type="dxa" w:w="1928"/>
          </w:tcPr>
          <w:p>
            <w:pPr>
              <w:spacing w:lineRule="exact" w:line="600"/>
              <w:jc w:val="center"/>
            </w:pPr>
            <w:r/>
            <w:r>
              <w:rPr>
                <w:rFonts w:ascii="仿宋_GB2312" w:hAnsi="仿宋_GB2312" w:eastAsia="仿宋_GB2312"/>
                <w:b w:val="0"/>
                <w:color w:val="000000"/>
                <w:sz w:val="32"/>
              </w:rPr>
              <w:t>-5.54</w:t>
            </w:r>
          </w:p>
        </w:tc>
        <w:tc>
          <w:tcPr>
            <w:tcW w:type="dxa" w:w="1928"/>
          </w:tcPr>
          <w:p>
            <w:pPr>
              <w:spacing w:lineRule="exact" w:line="600"/>
              <w:jc w:val="center"/>
            </w:pPr>
            <w:r/>
            <w:r>
              <w:rPr>
                <w:rFonts w:ascii="仿宋_GB2312" w:hAnsi="仿宋_GB2312" w:eastAsia="仿宋_GB2312"/>
                <w:b w:val="0"/>
                <w:color w:val="000000"/>
                <w:sz w:val="32"/>
              </w:rPr>
              <w:t>1.92</w:t>
            </w:r>
          </w:p>
        </w:tc>
      </w:tr>
      <w:tr>
        <w:tc>
          <w:tcPr>
            <w:tcW w:type="dxa" w:w="2381"/>
          </w:tcPr>
          <w:p>
            <w:pPr>
              <w:spacing w:lineRule="exact" w:line="600"/>
              <w:jc w:val="center"/>
            </w:pPr>
            <w:r/>
            <w:r>
              <w:rPr>
                <w:rFonts w:ascii="仿宋_GB2312" w:hAnsi="仿宋_GB2312" w:eastAsia="仿宋_GB2312"/>
                <w:b w:val="0"/>
                <w:color w:val="000000"/>
                <w:sz w:val="32"/>
              </w:rPr>
              <w:t>扣非净利润</w:t>
            </w:r>
          </w:p>
        </w:tc>
        <w:tc>
          <w:tcPr>
            <w:tcW w:type="dxa" w:w="1928"/>
          </w:tcPr>
          <w:p>
            <w:pPr>
              <w:spacing w:lineRule="exact" w:line="600"/>
              <w:jc w:val="center"/>
            </w:pPr>
            <w:r/>
            <w:r>
              <w:rPr>
                <w:rFonts w:ascii="仿宋_GB2312" w:hAnsi="仿宋_GB2312" w:eastAsia="仿宋_GB2312"/>
                <w:b w:val="0"/>
                <w:color w:val="000000"/>
                <w:sz w:val="32"/>
              </w:rPr>
              <w:t>2.92</w:t>
            </w:r>
          </w:p>
        </w:tc>
        <w:tc>
          <w:tcPr>
            <w:tcW w:type="dxa" w:w="1928"/>
          </w:tcPr>
          <w:p>
            <w:pPr>
              <w:spacing w:lineRule="exact" w:line="600"/>
              <w:jc w:val="center"/>
            </w:pPr>
            <w:r/>
            <w:r>
              <w:rPr>
                <w:rFonts w:ascii="仿宋_GB2312" w:hAnsi="仿宋_GB2312" w:eastAsia="仿宋_GB2312"/>
                <w:b w:val="0"/>
                <w:color w:val="000000"/>
                <w:sz w:val="32"/>
              </w:rPr>
              <w:t>-4.93</w:t>
            </w:r>
          </w:p>
        </w:tc>
        <w:tc>
          <w:tcPr>
            <w:tcW w:type="dxa" w:w="1928"/>
          </w:tcPr>
          <w:p>
            <w:pPr>
              <w:spacing w:lineRule="exact" w:line="600"/>
              <w:jc w:val="center"/>
            </w:pPr>
            <w:r/>
            <w:r>
              <w:rPr>
                <w:rFonts w:ascii="仿宋_GB2312" w:hAnsi="仿宋_GB2312" w:eastAsia="仿宋_GB2312"/>
                <w:b w:val="0"/>
                <w:color w:val="000000"/>
                <w:sz w:val="32"/>
              </w:rPr>
              <w:t>—</w:t>
            </w:r>
          </w:p>
        </w:tc>
      </w:tr>
      <w:tr>
        <w:tc>
          <w:tcPr>
            <w:tcW w:type="dxa" w:w="2381"/>
          </w:tcPr>
          <w:p>
            <w:pPr>
              <w:spacing w:lineRule="exact" w:line="600"/>
              <w:jc w:val="center"/>
            </w:pPr>
            <w:r/>
            <w:r>
              <w:rPr>
                <w:rFonts w:ascii="仿宋_GB2312" w:hAnsi="仿宋_GB2312" w:eastAsia="仿宋_GB2312"/>
                <w:b w:val="0"/>
                <w:color w:val="000000"/>
                <w:sz w:val="32"/>
              </w:rPr>
              <w:t>经营现金流净额</w:t>
            </w:r>
          </w:p>
        </w:tc>
        <w:tc>
          <w:tcPr>
            <w:tcW w:type="dxa" w:w="1928"/>
          </w:tcPr>
          <w:p>
            <w:pPr>
              <w:spacing w:lineRule="exact" w:line="600"/>
              <w:jc w:val="center"/>
            </w:pPr>
            <w:r/>
            <w:r>
              <w:rPr>
                <w:rFonts w:ascii="仿宋_GB2312" w:hAnsi="仿宋_GB2312" w:eastAsia="仿宋_GB2312"/>
                <w:b w:val="0"/>
                <w:color w:val="000000"/>
                <w:sz w:val="32"/>
              </w:rPr>
              <w:t>-1.96</w:t>
            </w:r>
          </w:p>
        </w:tc>
        <w:tc>
          <w:tcPr>
            <w:tcW w:type="dxa" w:w="1928"/>
          </w:tcPr>
          <w:p>
            <w:pPr>
              <w:spacing w:lineRule="exact" w:line="600"/>
              <w:jc w:val="center"/>
            </w:pPr>
            <w:r/>
            <w:r>
              <w:rPr>
                <w:rFonts w:ascii="仿宋_GB2312" w:hAnsi="仿宋_GB2312" w:eastAsia="仿宋_GB2312"/>
                <w:b w:val="0"/>
                <w:color w:val="000000"/>
                <w:sz w:val="32"/>
              </w:rPr>
              <w:t>9.40</w:t>
            </w:r>
          </w:p>
        </w:tc>
        <w:tc>
          <w:tcPr>
            <w:tcW w:type="dxa" w:w="1928"/>
          </w:tcPr>
          <w:p>
            <w:pPr>
              <w:spacing w:lineRule="exact" w:line="600"/>
              <w:jc w:val="center"/>
            </w:pPr>
            <w:r/>
            <w:r>
              <w:rPr>
                <w:rFonts w:ascii="仿宋_GB2312" w:hAnsi="仿宋_GB2312" w:eastAsia="仿宋_GB2312"/>
                <w:b w:val="0"/>
                <w:color w:val="000000"/>
                <w:sz w:val="32"/>
              </w:rPr>
              <w:t>—</w:t>
            </w:r>
          </w:p>
        </w:tc>
      </w:tr>
      <w:tr>
        <w:tc>
          <w:tcPr>
            <w:tcW w:type="dxa" w:w="2381"/>
          </w:tcPr>
          <w:p>
            <w:pPr>
              <w:spacing w:lineRule="exact" w:line="600"/>
              <w:jc w:val="center"/>
            </w:pPr>
            <w:r/>
            <w:r>
              <w:rPr>
                <w:rFonts w:ascii="仿宋_GB2312" w:hAnsi="仿宋_GB2312" w:eastAsia="仿宋_GB2312"/>
                <w:b w:val="0"/>
                <w:color w:val="000000"/>
                <w:sz w:val="32"/>
              </w:rPr>
              <w:t>总资产</w:t>
            </w:r>
          </w:p>
        </w:tc>
        <w:tc>
          <w:tcPr>
            <w:tcW w:type="dxa" w:w="1928"/>
          </w:tcPr>
          <w:p>
            <w:pPr>
              <w:spacing w:lineRule="exact" w:line="600"/>
              <w:jc w:val="center"/>
            </w:pPr>
            <w:r/>
            <w:r>
              <w:rPr>
                <w:rFonts w:ascii="仿宋_GB2312" w:hAnsi="仿宋_GB2312" w:eastAsia="仿宋_GB2312"/>
                <w:b w:val="0"/>
                <w:color w:val="000000"/>
                <w:sz w:val="32"/>
              </w:rPr>
              <w:t>208.96</w:t>
            </w:r>
          </w:p>
        </w:tc>
        <w:tc>
          <w:tcPr>
            <w:tcW w:type="dxa" w:w="1928"/>
          </w:tcPr>
          <w:p>
            <w:pPr>
              <w:spacing w:lineRule="exact" w:line="600"/>
              <w:jc w:val="center"/>
            </w:pPr>
            <w:r/>
            <w:r>
              <w:rPr>
                <w:rFonts w:ascii="仿宋_GB2312" w:hAnsi="仿宋_GB2312" w:eastAsia="仿宋_GB2312"/>
                <w:b w:val="0"/>
                <w:color w:val="000000"/>
                <w:sz w:val="32"/>
              </w:rPr>
              <w:t>193.29</w:t>
            </w:r>
          </w:p>
        </w:tc>
        <w:tc>
          <w:tcPr>
            <w:tcW w:type="dxa" w:w="1928"/>
          </w:tcPr>
          <w:p>
            <w:pPr>
              <w:spacing w:lineRule="exact" w:line="600"/>
              <w:jc w:val="center"/>
            </w:pPr>
            <w:r/>
            <w:r>
              <w:rPr>
                <w:rFonts w:ascii="仿宋_GB2312" w:hAnsi="仿宋_GB2312" w:eastAsia="仿宋_GB2312"/>
                <w:b w:val="0"/>
                <w:color w:val="000000"/>
                <w:sz w:val="32"/>
              </w:rPr>
              <w:t>192.45</w:t>
            </w:r>
          </w:p>
        </w:tc>
      </w:tr>
      <w:tr>
        <w:tc>
          <w:tcPr>
            <w:tcW w:type="dxa" w:w="2381"/>
          </w:tcPr>
          <w:p>
            <w:pPr>
              <w:spacing w:lineRule="exact" w:line="600"/>
              <w:jc w:val="center"/>
            </w:pPr>
            <w:r/>
            <w:r>
              <w:rPr>
                <w:rFonts w:ascii="仿宋_GB2312" w:hAnsi="仿宋_GB2312" w:eastAsia="仿宋_GB2312"/>
                <w:b w:val="0"/>
                <w:color w:val="000000"/>
                <w:sz w:val="32"/>
              </w:rPr>
              <w:t>净资产</w:t>
            </w:r>
          </w:p>
        </w:tc>
        <w:tc>
          <w:tcPr>
            <w:tcW w:type="dxa" w:w="1928"/>
          </w:tcPr>
          <w:p>
            <w:pPr>
              <w:spacing w:lineRule="exact" w:line="600"/>
              <w:jc w:val="center"/>
            </w:pPr>
            <w:r/>
            <w:r>
              <w:rPr>
                <w:rFonts w:ascii="仿宋_GB2312" w:hAnsi="仿宋_GB2312" w:eastAsia="仿宋_GB2312"/>
                <w:b w:val="0"/>
                <w:color w:val="000000"/>
                <w:sz w:val="32"/>
              </w:rPr>
              <w:t>116.23</w:t>
            </w:r>
          </w:p>
        </w:tc>
        <w:tc>
          <w:tcPr>
            <w:tcW w:type="dxa" w:w="1928"/>
          </w:tcPr>
          <w:p>
            <w:pPr>
              <w:spacing w:lineRule="exact" w:line="600"/>
              <w:jc w:val="center"/>
            </w:pPr>
            <w:r/>
            <w:r>
              <w:rPr>
                <w:rFonts w:ascii="仿宋_GB2312" w:hAnsi="仿宋_GB2312" w:eastAsia="仿宋_GB2312"/>
                <w:b w:val="0"/>
                <w:color w:val="000000"/>
                <w:sz w:val="32"/>
              </w:rPr>
              <w:t>98.08</w:t>
            </w:r>
          </w:p>
        </w:tc>
        <w:tc>
          <w:tcPr>
            <w:tcW w:type="dxa" w:w="1928"/>
          </w:tcPr>
          <w:p>
            <w:pPr>
              <w:spacing w:lineRule="exact" w:line="600"/>
              <w:jc w:val="center"/>
            </w:pPr>
            <w:r/>
            <w:r>
              <w:rPr>
                <w:rFonts w:ascii="仿宋_GB2312" w:hAnsi="仿宋_GB2312" w:eastAsia="仿宋_GB2312"/>
                <w:b w:val="0"/>
                <w:color w:val="000000"/>
                <w:sz w:val="32"/>
              </w:rPr>
              <w:t>94.36</w:t>
            </w:r>
          </w:p>
        </w:tc>
      </w:tr>
      <w:tr>
        <w:tc>
          <w:tcPr>
            <w:tcW w:type="dxa" w:w="2381"/>
          </w:tcPr>
          <w:p>
            <w:pPr>
              <w:spacing w:lineRule="exact" w:line="600"/>
              <w:jc w:val="center"/>
            </w:pPr>
            <w:r/>
            <w:r>
              <w:rPr>
                <w:rFonts w:ascii="仿宋_GB2312" w:hAnsi="仿宋_GB2312" w:eastAsia="仿宋_GB2312"/>
                <w:b w:val="0"/>
                <w:color w:val="000000"/>
                <w:sz w:val="32"/>
              </w:rPr>
              <w:t>毛利率</w:t>
            </w:r>
          </w:p>
        </w:tc>
        <w:tc>
          <w:tcPr>
            <w:tcW w:type="dxa" w:w="1928"/>
          </w:tcPr>
          <w:p>
            <w:pPr>
              <w:spacing w:lineRule="exact" w:line="600"/>
              <w:jc w:val="center"/>
            </w:pPr>
            <w:r/>
            <w:r>
              <w:rPr>
                <w:rFonts w:ascii="仿宋_GB2312" w:hAnsi="仿宋_GB2312" w:eastAsia="仿宋_GB2312"/>
                <w:b w:val="0"/>
                <w:color w:val="000000"/>
                <w:sz w:val="32"/>
              </w:rPr>
              <w:t>68.15%</w:t>
            </w:r>
          </w:p>
        </w:tc>
        <w:tc>
          <w:tcPr>
            <w:tcW w:type="dxa" w:w="1928"/>
          </w:tcPr>
          <w:p>
            <w:pPr>
              <w:spacing w:lineRule="exact" w:line="600"/>
              <w:jc w:val="center"/>
            </w:pPr>
            <w:r/>
            <w:r>
              <w:rPr>
                <w:rFonts w:ascii="仿宋_GB2312" w:hAnsi="仿宋_GB2312" w:eastAsia="仿宋_GB2312"/>
                <w:b w:val="0"/>
                <w:color w:val="000000"/>
                <w:sz w:val="32"/>
              </w:rPr>
              <w:t>59.77%</w:t>
            </w:r>
          </w:p>
        </w:tc>
        <w:tc>
          <w:tcPr>
            <w:tcW w:type="dxa" w:w="1928"/>
          </w:tcPr>
          <w:p>
            <w:pPr>
              <w:spacing w:lineRule="exact" w:line="600"/>
              <w:jc w:val="center"/>
            </w:pPr>
            <w:r/>
            <w:r>
              <w:rPr>
                <w:rFonts w:ascii="仿宋_GB2312" w:hAnsi="仿宋_GB2312" w:eastAsia="仿宋_GB2312"/>
                <w:b w:val="0"/>
                <w:color w:val="000000"/>
                <w:sz w:val="32"/>
              </w:rPr>
              <w:t>62.95%</w:t>
            </w:r>
          </w:p>
        </w:tc>
      </w:tr>
      <w:tr>
        <w:tc>
          <w:tcPr>
            <w:tcW w:type="dxa" w:w="2381"/>
          </w:tcPr>
          <w:p>
            <w:pPr>
              <w:spacing w:lineRule="exact" w:line="600"/>
              <w:jc w:val="center"/>
            </w:pPr>
            <w:r/>
            <w:r>
              <w:rPr>
                <w:rFonts w:ascii="仿宋_GB2312" w:hAnsi="仿宋_GB2312" w:eastAsia="仿宋_GB2312"/>
                <w:b w:val="0"/>
                <w:color w:val="000000"/>
                <w:sz w:val="32"/>
              </w:rPr>
              <w:t>净利率</w:t>
            </w:r>
          </w:p>
        </w:tc>
        <w:tc>
          <w:tcPr>
            <w:tcW w:type="dxa" w:w="1928"/>
          </w:tcPr>
          <w:p>
            <w:pPr>
              <w:spacing w:lineRule="exact" w:line="600"/>
              <w:jc w:val="center"/>
            </w:pPr>
            <w:r/>
            <w:r>
              <w:rPr>
                <w:rFonts w:ascii="仿宋_GB2312" w:hAnsi="仿宋_GB2312" w:eastAsia="仿宋_GB2312"/>
                <w:b w:val="0"/>
                <w:color w:val="000000"/>
                <w:sz w:val="32"/>
              </w:rPr>
              <w:t>1.15%</w:t>
            </w:r>
          </w:p>
        </w:tc>
        <w:tc>
          <w:tcPr>
            <w:tcW w:type="dxa" w:w="1928"/>
          </w:tcPr>
          <w:p>
            <w:pPr>
              <w:spacing w:lineRule="exact" w:line="600"/>
              <w:jc w:val="center"/>
            </w:pPr>
            <w:r/>
            <w:r>
              <w:rPr>
                <w:rFonts w:ascii="仿宋_GB2312" w:hAnsi="仿宋_GB2312" w:eastAsia="仿宋_GB2312"/>
                <w:b w:val="0"/>
                <w:color w:val="000000"/>
                <w:sz w:val="32"/>
              </w:rPr>
              <w:t>-6.38%</w:t>
            </w:r>
          </w:p>
        </w:tc>
        <w:tc>
          <w:tcPr>
            <w:tcW w:type="dxa" w:w="1928"/>
          </w:tcPr>
          <w:p>
            <w:pPr>
              <w:spacing w:lineRule="exact" w:line="600"/>
              <w:jc w:val="center"/>
            </w:pPr>
            <w:r/>
            <w:r>
              <w:rPr>
                <w:rFonts w:ascii="仿宋_GB2312" w:hAnsi="仿宋_GB2312" w:eastAsia="仿宋_GB2312"/>
                <w:b w:val="0"/>
                <w:color w:val="000000"/>
                <w:sz w:val="32"/>
              </w:rPr>
              <w:t>1.62%</w:t>
            </w:r>
          </w:p>
        </w:tc>
      </w:tr>
    </w:tbl>
    <w:p>
      <w:pPr>
        <w:spacing w:lineRule="exact" w:line="600" w:before="0" w:after="0"/>
        <w:ind w:firstLine="420"/>
        <w:jc w:val="both"/>
      </w:pPr>
      <w:r>
        <w:rPr>
          <w:rFonts w:ascii="仿宋_GB2312" w:hAnsi="仿宋_GB2312" w:eastAsia="仿宋_GB2312"/>
          <w:b w:val="0"/>
          <w:color w:val="000000"/>
          <w:sz w:val="32"/>
        </w:rPr>
        <w:t>注：2023年营业总收入依据2024年同比下降16.91%倒算得出；2023年总资产、净资产依据2024年末较上年度末分别下降7.5%、12.1%倒算得出；2023年毛利率依据2024年毛利率同比下降8.38个百分点推算；上述倒算数据仅供趋势参考，精确数值以年报原文为准。2025年数据为第三方数据库口径的净利润（非归母口径）。</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2024年是公司盈利能力的转折之年。当年公司实现营业总收入110.06亿元，同比下降16.91%；归属于上市公司股东的净利润亏损5.54亿元，上年同期为盈利3.19亿元，同比下降273.6%；扣除非经常性损益后的净利润亏损4.93亿元，上年同期盈利2.92亿元，同比下降269.0%；基本每股收益-0.511元，加权平均净资产收益率-5.07%。</w:t>
      </w:r>
    </w:p>
    <w:p>
      <w:pPr>
        <w:spacing w:lineRule="exact" w:line="600" w:before="0" w:after="0"/>
        <w:ind w:firstLine="420"/>
        <w:jc w:val="both"/>
      </w:pPr>
      <w:r>
        <w:rPr>
          <w:rFonts w:ascii="仿宋_GB2312" w:hAnsi="仿宋_GB2312" w:eastAsia="仿宋_GB2312"/>
          <w:b w:val="0"/>
          <w:color w:val="000000"/>
          <w:sz w:val="32"/>
        </w:rPr>
        <w:t>亏损的直接原因是商誉减值。由于全资子公司通化谷红制药和控股子公司吉林天成制药的多款产品相继被调出医保目录，叠加市场竞争加剧和市场开发不及预期，公司对相关资产组商誉进行减值测试并拟计提商誉减值准备合计8.53亿元。若剔除该项非经常性影响，公司经营性盈利仍处于正区间但明显收窄。</w:t>
      </w:r>
    </w:p>
    <w:p>
      <w:pPr>
        <w:spacing w:lineRule="exact" w:line="600" w:before="0" w:after="0"/>
        <w:ind w:firstLine="420"/>
        <w:jc w:val="both"/>
      </w:pPr>
      <w:r>
        <w:rPr>
          <w:rFonts w:ascii="仿宋_GB2312" w:hAnsi="仿宋_GB2312" w:eastAsia="仿宋_GB2312"/>
          <w:b w:val="0"/>
          <w:color w:val="000000"/>
          <w:sz w:val="32"/>
        </w:rPr>
        <w:t>毛利率方面，2024年公司综合毛利率为59.77%，同比下降8.38个百分点，主要系部分产品因医保限制或被纳入重点监控目录导致销量下降、产能利用率下降摊薄固定成本，以及低毛利的医疗器械业务占比提升所致。分季度看，2024年第四季度毛利率为68.82%，同比上升2.22个百分点、环比上升11.49个百分点，显示结构调整已在四季度初见成效；但同期净利率为-36.94%，主要受商誉减值集中计提影响。</w:t>
      </w:r>
    </w:p>
    <w:p>
      <w:pPr>
        <w:spacing w:lineRule="exact" w:line="600" w:before="0" w:after="0"/>
        <w:ind w:firstLine="420"/>
        <w:jc w:val="both"/>
      </w:pPr>
      <w:r>
        <w:rPr>
          <w:rFonts w:ascii="仿宋_GB2312" w:hAnsi="仿宋_GB2312" w:eastAsia="仿宋_GB2312"/>
          <w:b w:val="0"/>
          <w:color w:val="000000"/>
          <w:sz w:val="32"/>
        </w:rPr>
        <w:t>分产品毛利率呈现明显分化：2024年心脑血管、医疗器械、消化、泌尿板块毛利率分别为64.74%、6.67%、76.76%、85.05%。高毛利的消化、泌尿板块规模偏小，低毛利的医疗器械板块增长最快，这一"增长与盈利错配"的结构是公司未来盈利改善需要重点解决的问题。</w:t>
      </w:r>
    </w:p>
    <w:p>
      <w:pPr>
        <w:spacing w:lineRule="exact" w:line="600" w:before="0" w:after="0"/>
        <w:ind w:firstLine="420"/>
        <w:jc w:val="both"/>
      </w:pPr>
      <w:r>
        <w:rPr>
          <w:rFonts w:ascii="仿宋_GB2312" w:hAnsi="仿宋_GB2312" w:eastAsia="仿宋_GB2312"/>
          <w:b w:val="0"/>
          <w:color w:val="000000"/>
          <w:sz w:val="32"/>
        </w:rPr>
        <w:t>2025年公司盈利出现修复。据公开财务数据库口径，2025年公司毛利率回升至62.95%，营业收入回升至约118.75亿元，净利润约1.92亿元，净利率约1.62%，实现扭亏为盈。2026年一季度毛利率进一步提升至约63.35%，净利率约11.75%，单季净利润约3.03亿元，盈利质量较2024年同期显著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规模方面，截至2024年末公司总资产193.29亿元，较上年度末下降7.5%；归属于母公司股东的净资产102.16亿元，较上年度末下降12.1%。截至2025年末，总资产约192.45亿元，净资产约94.36亿元，规模总体保持平稳略降态势。</w:t>
      </w:r>
    </w:p>
    <w:p>
      <w:pPr>
        <w:spacing w:lineRule="exact" w:line="600" w:before="0" w:after="0"/>
        <w:ind w:firstLine="420"/>
        <w:jc w:val="both"/>
      </w:pPr>
      <w:r>
        <w:rPr>
          <w:rFonts w:ascii="仿宋_GB2312" w:hAnsi="仿宋_GB2312" w:eastAsia="仿宋_GB2312"/>
          <w:b w:val="0"/>
          <w:color w:val="000000"/>
          <w:sz w:val="32"/>
        </w:rPr>
        <w:t>资产结构方面，公司作为并购扩张型医药集团，商誉与无形资产（药品批文、专利、商标等）在总资产中占有一定比重。2024年集中计提8.53亿元商誉减值后，商誉账面价值有所出清，资产"水分"得到一定挤压，后续减值压力相对缓解，但仍需持续关注剩余商誉对应资产组的经营表现。</w:t>
      </w:r>
    </w:p>
    <w:p>
      <w:pPr>
        <w:spacing w:lineRule="exact" w:line="600" w:before="0" w:after="0"/>
        <w:ind w:firstLine="420"/>
        <w:jc w:val="both"/>
      </w:pPr>
      <w:r>
        <w:rPr>
          <w:rFonts w:ascii="仿宋_GB2312" w:hAnsi="仿宋_GB2312" w:eastAsia="仿宋_GB2312"/>
          <w:b w:val="0"/>
          <w:color w:val="000000"/>
          <w:sz w:val="32"/>
        </w:rPr>
        <w:t>应收账款方面，医药流通行业账期普遍较长，公司应收账款规模与营业收入基本匹配。考虑到主要客户为大型医药商业公司，整体信用风险可控，但需关注部分区域性经销商的回款质量与坏账计提充分性。</w:t>
      </w:r>
    </w:p>
    <w:p>
      <w:pPr>
        <w:spacing w:lineRule="exact" w:line="600" w:before="0" w:after="0"/>
        <w:ind w:firstLine="420"/>
        <w:jc w:val="both"/>
      </w:pPr>
      <w:r>
        <w:rPr>
          <w:rFonts w:ascii="仿宋_GB2312" w:hAnsi="仿宋_GB2312" w:eastAsia="仿宋_GB2312"/>
          <w:b w:val="0"/>
          <w:color w:val="000000"/>
          <w:sz w:val="32"/>
        </w:rPr>
        <w:t>存货方面，公司存货主要由中药材原料、在产品和库存商品构成。中药材具有一定的存放周期与价格波动属性，需关注跌价准备计提的充分性；在收入规模收缩期，需重点防范渠道库存积压向账面存货传导的风险。</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按2024年末数据测算，公司总资产193.29亿元、所有者权益合计98.08亿元，资产负债率约为49.25%；按2025年末数据测算，总资产约192.45亿元、所有者权益约94.36亿元，资产负债率约为50.97%。整体杠杆水平处于医药制造业的中等区间，尚属稳健，但呈缓慢上行趋势。</w:t>
      </w:r>
    </w:p>
    <w:p>
      <w:pPr>
        <w:spacing w:lineRule="exact" w:line="600" w:before="0" w:after="0"/>
        <w:ind w:firstLine="420"/>
        <w:jc w:val="both"/>
      </w:pPr>
      <w:r>
        <w:rPr>
          <w:rFonts w:ascii="仿宋_GB2312" w:hAnsi="仿宋_GB2312" w:eastAsia="仿宋_GB2312"/>
          <w:b w:val="0"/>
          <w:color w:val="000000"/>
          <w:sz w:val="32"/>
        </w:rPr>
        <w:t>偿债能力方面，公司账面净资产规模接近百亿元，权益缓冲较为厚实；2024年经营活动产生的现金流量净额转正为9.40亿元，同比增长580.5%，为债务偿付提供了内生现金支撑。作为主板上市公司，公司在银行间接融资与债券市场直接融资方面具备较好的可得性与议价能力。</w:t>
      </w:r>
    </w:p>
    <w:p>
      <w:pPr>
        <w:spacing w:lineRule="exact" w:line="600" w:before="0" w:after="0"/>
        <w:ind w:firstLine="420"/>
        <w:jc w:val="both"/>
      </w:pPr>
      <w:r>
        <w:rPr>
          <w:rFonts w:ascii="仿宋_GB2312" w:hAnsi="仿宋_GB2312" w:eastAsia="仿宋_GB2312"/>
          <w:b w:val="0"/>
          <w:color w:val="000000"/>
          <w:sz w:val="32"/>
        </w:rPr>
        <w:t>需要关注的是，公司2024年动用约7.11亿元资金实施股份回购，虽有利于稳定市场预期和提升每股收益，但在亏损年度实施大额回购对当期流动性形成一定占用。此外，公司多子公司架构下的内部资金调度效率与担保关系复杂度，也是评估集团整体偿债能力时需要穿透审视的因素。</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方面，2024年公司经营活动产生的现金流量净额为9.40亿元，上年同期为-1.96亿元，同比大幅改善580.5%。在营业收入下降、当期账面亏损的背景下经营现金流反而转正，主要得益于公司加强应收账款催收、压降渠道库存、优化采购付款节奏以及商誉减值属于非付现成本等因素。这说明公司2024年的亏损主要是账面减值性质，实际现金创造能力并未同步恶化，这是评估公司信用资质时的重要正面信号。</w:t>
      </w:r>
    </w:p>
    <w:p>
      <w:pPr>
        <w:spacing w:lineRule="exact" w:line="600" w:before="0" w:after="0"/>
        <w:ind w:firstLine="420"/>
        <w:jc w:val="both"/>
      </w:pPr>
      <w:r>
        <w:rPr>
          <w:rFonts w:ascii="仿宋_GB2312" w:hAnsi="仿宋_GB2312" w:eastAsia="仿宋_GB2312"/>
          <w:b w:val="0"/>
          <w:color w:val="000000"/>
          <w:sz w:val="32"/>
        </w:rPr>
        <w:t>投资活动现金流方面，公司此前长期处于并购扩张期，投资活动现金流持续为净流出。近年随着并购节奏放缓、战略转向内生增长与存量资产盘活，投资性支出压力有所减轻。</w:t>
      </w:r>
    </w:p>
    <w:p>
      <w:pPr>
        <w:spacing w:lineRule="exact" w:line="600" w:before="0" w:after="0"/>
        <w:ind w:firstLine="420"/>
        <w:jc w:val="both"/>
      </w:pPr>
      <w:r>
        <w:rPr>
          <w:rFonts w:ascii="仿宋_GB2312" w:hAnsi="仿宋_GB2312" w:eastAsia="仿宋_GB2312"/>
          <w:b w:val="0"/>
          <w:color w:val="000000"/>
          <w:sz w:val="32"/>
        </w:rPr>
        <w:t>筹资活动现金流方面，2024年公司实施了约7.11亿元的股份回购，构成较大规模的筹资性现金流出；同时公司当年不派发现金红利，一定程度上对冲了回购的资金压力。总体上公司现金流管理趋于审慎。</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中药Ⅲ行业可比公司相比，公司的规模指标居于前列而成长性与盈利性指标明显靠后。据中证智能财讯统计，截至2024年末公司三年营业总收入复合增长率-11.29%，在已披露2024年数据的51家中药Ⅲ行业公司中排名第46位；三年净利润复合年增长率-178.11%，同样排名第46位。</w:t>
      </w:r>
    </w:p>
    <w:p>
      <w:pPr>
        <w:spacing w:lineRule="exact" w:line="600" w:before="0" w:after="0"/>
        <w:ind w:firstLine="420"/>
        <w:jc w:val="both"/>
      </w:pPr>
      <w:r>
        <w:rPr>
          <w:rFonts w:ascii="仿宋_GB2312" w:hAnsi="仿宋_GB2312" w:eastAsia="仿宋_GB2312"/>
          <w:b w:val="0"/>
          <w:color w:val="000000"/>
          <w:sz w:val="32"/>
        </w:rPr>
        <w:t>毛利率维度，公司2024年59.77%、2025年约62.95%的综合毛利率在中药行业中处于中上水平，反映其产品仍具备较强的定价能力和品牌溢价。但净利率仅在-6.38%至1.62%区间波动，与毛利率形成巨大落差，说明期间费用（尤其是销售费用）对利润的侵蚀十分严重，这是公司与优质同业最主要的差距所在。</w:t>
      </w:r>
    </w:p>
    <w:p>
      <w:pPr>
        <w:spacing w:lineRule="exact" w:line="600" w:before="0" w:after="0"/>
        <w:ind w:firstLine="420"/>
        <w:jc w:val="both"/>
      </w:pPr>
      <w:r>
        <w:rPr>
          <w:rFonts w:ascii="仿宋_GB2312" w:hAnsi="仿宋_GB2312" w:eastAsia="仿宋_GB2312"/>
          <w:b w:val="0"/>
          <w:color w:val="000000"/>
          <w:sz w:val="32"/>
        </w:rPr>
        <w:t>资产负债率约50%的水平在中药上市公司中偏高（行业内不少企业负债率低于40%），主要源于公司并购扩张形成的负债积累。综合来看，公司属于"规模大、毛利高、费用重、杠杆中高、成长承压"的典型转型期中药企业画像。</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上海证券交易所主板上市公司，已按照《公司法》《证券法》及上交所股票上市规则建立了股东大会、董事会、监事会与经理层相互制衡的法人治理结构，并设立战略、审计、提名、薪酬与考核等专门委员会。</w:t>
      </w:r>
    </w:p>
    <w:p>
      <w:pPr>
        <w:spacing w:lineRule="exact" w:line="600" w:before="0" w:after="0"/>
        <w:ind w:firstLine="420"/>
        <w:jc w:val="both"/>
      </w:pPr>
      <w:r>
        <w:rPr>
          <w:rFonts w:ascii="仿宋_GB2312" w:hAnsi="仿宋_GB2312" w:eastAsia="仿宋_GB2312"/>
          <w:b w:val="0"/>
          <w:color w:val="000000"/>
          <w:sz w:val="32"/>
        </w:rPr>
        <w:t>信息披露与审计方面，公司聘请信永中和会计师事务所（特殊普通合伙）担任境内审计机构，办公地址位于北京市东城区朝阳门北大街8号富华大厦A座8层。信永中和为公司2024年年度财务报表出具了标准无保留意见的审计报告，说明公司财务报表在所有重大方面公允反映了财务状况与经营成果。</w:t>
      </w:r>
    </w:p>
    <w:p>
      <w:pPr>
        <w:spacing w:lineRule="exact" w:line="600" w:before="0" w:after="0"/>
        <w:ind w:firstLine="420"/>
        <w:jc w:val="both"/>
      </w:pPr>
      <w:r>
        <w:rPr>
          <w:rFonts w:ascii="仿宋_GB2312" w:hAnsi="仿宋_GB2312" w:eastAsia="仿宋_GB2312"/>
          <w:b w:val="0"/>
          <w:color w:val="000000"/>
          <w:sz w:val="32"/>
        </w:rPr>
        <w:t>2024年年度报告中，公司全体董事出席董事会会议，不存在半数以上董事无法保证年度报告真实性、准确性和完整性的情形；不存在被控股股东及其他关联方非经营性占用资金的情况；不存在违反规定决策程序对外提供担保的情况。公司负责人赵涛、主管会计工作负责人赵晓刚及会计机构负责人程错声明保证年度报告中财务报告的真实、准确、完整。上述情况表明公司在治理合规的基本面上未出现重大瑕疵。</w:t>
      </w:r>
    </w:p>
    <w:p>
      <w:pPr>
        <w:spacing w:lineRule="exact" w:line="600" w:before="0" w:after="0"/>
        <w:ind w:firstLine="420"/>
        <w:jc w:val="both"/>
      </w:pPr>
      <w:r>
        <w:rPr>
          <w:rFonts w:ascii="仿宋_GB2312" w:hAnsi="仿宋_GB2312" w:eastAsia="仿宋_GB2312"/>
          <w:b w:val="0"/>
          <w:color w:val="000000"/>
          <w:sz w:val="32"/>
        </w:rPr>
        <w:t>控制权结构方面，控股股东步长（香港）控股有限公司持股约46.56%，接近绝对控股线，实际控制人为赵涛家族。高集中度的股权结构有利于战略执行的一致性与决策效率，但也需关注中小股东权益保护机制、关联交易审议程序以及独立董事履职的独立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董事长为赵涛，同时担任公司负责人，为公司实际控制人核心成员，长期主导公司战略方向。主管会计工作负责人为赵晓刚，会计机构负责人（会计主管人员）为程错。董事会秘书为王新，证券事务代表为吴兵。</w:t>
      </w:r>
    </w:p>
    <w:p>
      <w:pPr>
        <w:spacing w:lineRule="exact" w:line="600" w:before="0" w:after="0"/>
        <w:ind w:firstLine="420"/>
        <w:jc w:val="both"/>
      </w:pPr>
      <w:r>
        <w:rPr>
          <w:rFonts w:ascii="仿宋_GB2312" w:hAnsi="仿宋_GB2312" w:eastAsia="仿宋_GB2312"/>
          <w:b w:val="0"/>
          <w:color w:val="000000"/>
          <w:sz w:val="32"/>
        </w:rPr>
        <w:t>管理团队特征上，公司属于典型的家族控股型民营医药企业，创始人及其家族成员在董事会与核心管理岗位占据主导地位，决策链条短、执行力强。在行业上行期这种模式效率显著；在行业深度调整期，则需要更多引入职业经理人和外部专业力量，以推动商业模式从"销售驱动"向"研发＋合规驱动"转型。</w:t>
      </w:r>
    </w:p>
    <w:p>
      <w:pPr>
        <w:spacing w:lineRule="exact" w:line="600" w:before="0" w:after="0"/>
        <w:ind w:firstLine="420"/>
        <w:jc w:val="both"/>
      </w:pPr>
      <w:r>
        <w:rPr>
          <w:rFonts w:ascii="仿宋_GB2312" w:hAnsi="仿宋_GB2312" w:eastAsia="仿宋_GB2312"/>
          <w:b w:val="0"/>
          <w:color w:val="000000"/>
          <w:sz w:val="32"/>
        </w:rPr>
        <w:t>管理层近年的核心工作方向包括：推动主导产品的循证医学再评价以验证疗效、提升市场声誉；加大新产品推广力度、培育新的增长点；优化销售费用结构以适应合规监管要求；对减值资产进行出清以轻装上阵。这些举措在2025年已初步体现为盈利修复。</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实行集团化管控模式，母公司通过派驻财务负责人、统一制度体系、统一信息系统等方式对下属数十家子公司实施管理。药品生产企业受《药品管理法》《药品生产质量管理规范》约束，公司在质量管理体系、药物警戒体系、生产过程控制、批记录管理等方面建立了较为完备的制度。</w:t>
      </w:r>
    </w:p>
    <w:p>
      <w:pPr>
        <w:spacing w:lineRule="exact" w:line="600" w:before="0" w:after="0"/>
        <w:ind w:firstLine="420"/>
        <w:jc w:val="both"/>
      </w:pPr>
      <w:r>
        <w:rPr>
          <w:rFonts w:ascii="仿宋_GB2312" w:hAnsi="仿宋_GB2312" w:eastAsia="仿宋_GB2312"/>
          <w:b w:val="0"/>
          <w:color w:val="000000"/>
          <w:sz w:val="32"/>
        </w:rPr>
        <w:t>内控的重点风险领域在于：一是销售费用管理，医药行业销售费用合规性长期受到监管重点关注，公司需持续强化学术推广活动的真实性、合理性与票据合规性管理；二是并购标的整合，公司历史上通过并购形成大量商誉，被并购主体在业绩承诺期后的管理融合与业绩持续性是内控与商誉减值管理的核心；三是多主体资金归集与关联交易，庞大的法人架构对资金安全和内部交易定价公允性提出更高要求。</w:t>
      </w:r>
    </w:p>
    <w:p>
      <w:pPr>
        <w:spacing w:lineRule="exact" w:line="600" w:before="0" w:after="0"/>
        <w:ind w:firstLine="420"/>
        <w:jc w:val="both"/>
      </w:pPr>
      <w:r>
        <w:rPr>
          <w:rFonts w:ascii="仿宋_GB2312" w:hAnsi="仿宋_GB2312" w:eastAsia="仿宋_GB2312"/>
          <w:b w:val="0"/>
          <w:color w:val="000000"/>
          <w:sz w:val="32"/>
        </w:rPr>
        <w:t>2024年公司主动对通化谷红、吉林天成对应的商誉进行减值测试并计提减值准备，体现了公司在会计处理上的审慎态度，也说明其减值测试机制能够对政策冲击作出及时反应。</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规模方面，截至2024年末公司员工总数为7689人，同比减少7.48%，人员规模的收缩与营业收入下降、销售体系精简同步。母公司层面参保人数约1654人，工商年报显示城镇职工基本养老保险1741人、职工基本医疗保险1745人、失业保险1740人、工伤保险1741人。</w:t>
      </w:r>
    </w:p>
    <w:p>
      <w:pPr>
        <w:spacing w:lineRule="exact" w:line="600" w:before="0" w:after="0"/>
        <w:ind w:firstLine="420"/>
        <w:jc w:val="both"/>
      </w:pPr>
      <w:r>
        <w:rPr>
          <w:rFonts w:ascii="仿宋_GB2312" w:hAnsi="仿宋_GB2312" w:eastAsia="仿宋_GB2312"/>
          <w:b w:val="0"/>
          <w:color w:val="000000"/>
          <w:sz w:val="32"/>
        </w:rPr>
        <w:t>薪酬方面，2024年公司人均薪酬13.63万元，同比上升7.26%；同期人均创收143.14万元，同比下降10.19%。人均薪酬上升而人均创收下降，反映出在收入收缩期人工成本具有刚性，人效压力明显加大，未来需通过组织效能提升和数字化工具应用加以化解。</w:t>
      </w:r>
    </w:p>
    <w:p>
      <w:pPr>
        <w:spacing w:lineRule="exact" w:line="600" w:before="0" w:after="0"/>
        <w:ind w:firstLine="420"/>
        <w:jc w:val="both"/>
      </w:pPr>
      <w:r>
        <w:rPr>
          <w:rFonts w:ascii="仿宋_GB2312" w:hAnsi="仿宋_GB2312" w:eastAsia="仿宋_GB2312"/>
          <w:b w:val="0"/>
          <w:color w:val="000000"/>
          <w:sz w:val="32"/>
        </w:rPr>
        <w:t>人才结构方面，公司拥有覆盖研发、生产、质量、注册、学术推广、销售管理的完整人才梯队。作为菏泽本地最大的医药企业，公司在鲁西南地区具有较强的医药人才吸引力，同时通过北京、上海、广州、成都等地的研发与商务主体吸纳一线城市高端人才，形成"总部在菏泽、触角在全国"的人才布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品牌与品种壁垒。公司深耕心脑血管中成药领域二十余年，拥有多个具备较高医生认知度和患者基础的专利中成药大品种。中成药独家品种具有配方保密、审批稀缺的特点，新进入者难以在短期内复制，这构成公司最核心的护城河。2024年心脑血管板块64.74%、消化板块76.76%、泌尿板块85.05%的毛利率水平，正是品种壁垒的直接体现。</w:t>
      </w:r>
    </w:p>
    <w:p>
      <w:pPr>
        <w:spacing w:lineRule="exact" w:line="600" w:before="0" w:after="0"/>
        <w:ind w:firstLine="420"/>
        <w:jc w:val="both"/>
      </w:pPr>
      <w:r>
        <w:rPr>
          <w:rFonts w:ascii="仿宋_GB2312" w:hAnsi="仿宋_GB2312" w:eastAsia="仿宋_GB2312"/>
          <w:b w:val="0"/>
          <w:color w:val="000000"/>
          <w:sz w:val="32"/>
        </w:rPr>
        <w:t>第二，渠道与学术推广壁垒。公司建立了覆盖全国的销售网络和规模庞大的学术推广体系，与各级医疗机构、医药商业公司建立了长期合作关系。这一网络的建设需要长时间的投入积累，是新进入者的重要门槛，也是公司引入新产品实现快速放量的载体。</w:t>
      </w:r>
    </w:p>
    <w:p>
      <w:pPr>
        <w:spacing w:lineRule="exact" w:line="600" w:before="0" w:after="0"/>
        <w:ind w:firstLine="420"/>
        <w:jc w:val="both"/>
      </w:pPr>
      <w:r>
        <w:rPr>
          <w:rFonts w:ascii="仿宋_GB2312" w:hAnsi="仿宋_GB2312" w:eastAsia="仿宋_GB2312"/>
          <w:b w:val="0"/>
          <w:color w:val="000000"/>
          <w:sz w:val="32"/>
        </w:rPr>
        <w:t>第三，生产资质与产能壁垒。公司及子公司持有覆盖片剂、胶囊剂、颗粒剂、丸剂、口服液、注射剂、原料药等多剂型的药品生产许可与GMP资质，在山东、陕西、吉林、四川等地布局多个生产基地。药品生产资质获取周期长、审批严格，构成实质性的进入壁垒。</w:t>
      </w:r>
    </w:p>
    <w:p>
      <w:pPr>
        <w:spacing w:lineRule="exact" w:line="600" w:before="0" w:after="0"/>
        <w:ind w:firstLine="420"/>
        <w:jc w:val="both"/>
      </w:pPr>
      <w:r>
        <w:rPr>
          <w:rFonts w:ascii="仿宋_GB2312" w:hAnsi="仿宋_GB2312" w:eastAsia="仿宋_GB2312"/>
          <w:b w:val="0"/>
          <w:color w:val="000000"/>
          <w:sz w:val="32"/>
        </w:rPr>
        <w:t>第四，资源与区位壁垒。公司注册地菏泽是山东省重要的中药材产区之一，公司依托本地资源禀赋建立了稳定的原料供应体系，在中药材价格波动周期中具备相对成本优势和供应保障优势。同时公司作为菏泽高新区现代中药集群的链主，能够获得地方政府在土地、税收、人才、产业配套等方面的支持。</w:t>
      </w:r>
    </w:p>
    <w:p>
      <w:pPr>
        <w:spacing w:lineRule="exact" w:line="600" w:before="0" w:after="0"/>
        <w:ind w:firstLine="420"/>
        <w:jc w:val="both"/>
      </w:pPr>
      <w:r>
        <w:rPr>
          <w:rFonts w:ascii="仿宋_GB2312" w:hAnsi="仿宋_GB2312" w:eastAsia="仿宋_GB2312"/>
          <w:b w:val="0"/>
          <w:color w:val="000000"/>
          <w:sz w:val="32"/>
        </w:rPr>
        <w:t>第五，资本与产融结合优势。作为A股主板上市公司，公司具备直接融资通道；同时旗下拥有天津步长健康产业融资租赁有限公司这一金融牌照资源，可开展设备融资租赁业务，为集团及产业链客户提供金融服务，在同类中药企业中较为少见。</w:t>
      </w:r>
    </w:p>
    <w:p>
      <w:pPr>
        <w:spacing w:lineRule="exact" w:line="600" w:before="0" w:after="0"/>
        <w:ind w:firstLine="420"/>
        <w:jc w:val="both"/>
      </w:pPr>
      <w:r>
        <w:rPr>
          <w:rFonts w:ascii="仿宋_GB2312" w:hAnsi="仿宋_GB2312" w:eastAsia="仿宋_GB2312"/>
          <w:b w:val="0"/>
          <w:color w:val="000000"/>
          <w:sz w:val="32"/>
        </w:rPr>
        <w:t>第六，研发与循证医学能力。公司通过北京步长新药研发有限公司等平台持续投入研发，尤其在中药循证医学再评价方面持续投入。在中药注射剂等品类面临临床价值质疑的行业背景下，扎实的循证证据是产品能否留在医保目录、能否维持临床地位的决定性因素，公司在这方面的先发投入具有战略意义。</w:t>
      </w:r>
    </w:p>
    <w:p>
      <w:pPr>
        <w:spacing w:lineRule="exact" w:line="600" w:before="0" w:after="0"/>
        <w:ind w:firstLine="420"/>
        <w:jc w:val="both"/>
      </w:pPr>
      <w:r>
        <w:rPr>
          <w:rFonts w:ascii="仿宋_GB2312" w:hAnsi="仿宋_GB2312" w:eastAsia="仿宋_GB2312"/>
          <w:b w:val="0"/>
          <w:color w:val="000000"/>
          <w:sz w:val="32"/>
        </w:rPr>
        <w:t>需要客观指出的是，公司的护城河在近年政策冲击下出现了一定程度的削弱：医保目录调整、重点监控合理用药目录、集中带量采购等政策直接削弱了独家品种的定价权和放量空间，2024年多款产品被调出医保目录即为明证。因此公司的护城河更多体现为"存量壁垒"而非"增量壁垒"，能否通过新品种培育重建增量护城河，是决定公司长期价值的关键。</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（一）行业与政策风险</w:t>
      </w:r>
    </w:p>
    <w:p>
      <w:pPr>
        <w:spacing w:lineRule="exact" w:line="600" w:before="0" w:after="0"/>
        <w:ind w:firstLine="420"/>
        <w:jc w:val="both"/>
      </w:pPr>
      <w:r>
        <w:rPr>
          <w:rFonts w:ascii="仿宋_GB2312" w:hAnsi="仿宋_GB2312" w:eastAsia="仿宋_GB2312"/>
          <w:b w:val="0"/>
          <w:color w:val="000000"/>
          <w:sz w:val="32"/>
        </w:rPr>
        <w:t>这是公司当前面临的首要风险。医保目录动态调整、重点监控合理用药目录管理、药品集中带量采购常态化、中药注射剂临床使用限制、医保支付方式改革（DRG/DIP）等政策叠加，对公司以医院处方为主的中成药大品种形成持续压力。2024年通化谷红、吉林天成多款产品被调出医保目录，直接导致公司计提8.53亿元商誉减值并出现年度亏损，是政策风险实质化的典型案例。</w:t>
      </w:r>
    </w:p>
    <w:p>
      <w:pPr>
        <w:spacing w:lineRule="exact" w:line="600" w:before="0" w:after="0"/>
        <w:ind w:firstLine="420"/>
        <w:jc w:val="both"/>
      </w:pPr>
      <w:r>
        <w:rPr>
          <w:rFonts w:ascii="仿宋_GB2312" w:hAnsi="仿宋_GB2312" w:eastAsia="仿宋_GB2312"/>
          <w:b w:val="0"/>
          <w:color w:val="000000"/>
          <w:sz w:val="32"/>
        </w:rPr>
        <w:t>应对措施方面，公司在年报中明确提出：一是加大对新产品的推广力度，培育新的增长点，进一步提升市场竞争力；二是持续推动现有主导产品的循证医学再评价，以验证产品疗效并提升市场声誉。这两项措施分别从"增量替代"和"存量守护"两个维度回应政策压力。</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收入结构集中风险突出。心脑血管板块收入占比达63.87%，单一治疗领域的政策变动或竞争格局变化将对公司整体经营产生放大影响。2024年该板块收入同比下降23.36%即直接拖累公司整体收入下滑16.91%。</w:t>
      </w:r>
    </w:p>
    <w:p>
      <w:pPr>
        <w:spacing w:lineRule="exact" w:line="600" w:before="0" w:after="0"/>
        <w:ind w:firstLine="420"/>
        <w:jc w:val="both"/>
      </w:pPr>
      <w:r>
        <w:rPr>
          <w:rFonts w:ascii="仿宋_GB2312" w:hAnsi="仿宋_GB2312" w:eastAsia="仿宋_GB2312"/>
          <w:b w:val="0"/>
          <w:color w:val="000000"/>
          <w:sz w:val="32"/>
        </w:rPr>
        <w:t>产品结构失衡风险。增长最快的医疗器械板块毛利率仅6.67%，而高毛利的消化、泌尿板块规模偏小且增长乏力，公司面临"有增长的没利润、有利润的没增长"的结构性困境。</w:t>
      </w:r>
    </w:p>
    <w:p>
      <w:pPr>
        <w:spacing w:lineRule="exact" w:line="600" w:before="0" w:after="0"/>
        <w:ind w:firstLine="420"/>
        <w:jc w:val="both"/>
      </w:pPr>
      <w:r>
        <w:rPr>
          <w:rFonts w:ascii="仿宋_GB2312" w:hAnsi="仿宋_GB2312" w:eastAsia="仿宋_GB2312"/>
          <w:b w:val="0"/>
          <w:color w:val="000000"/>
          <w:sz w:val="32"/>
        </w:rPr>
        <w:t>市场竞争加剧风险。公司在年报中明确提到市场竞争加剧和市场开发不如预期对收入产生负面影响。中成药领域同质化竞争、仿制中成药与创新化药的双重挤压，使公司在存量市场中的份额维护成本持续上升。</w:t>
      </w:r>
    </w:p>
    <w:p>
      <w:pPr>
        <w:spacing w:lineRule="exact" w:line="600" w:before="0" w:after="0"/>
        <w:ind w:firstLine="420"/>
        <w:jc w:val="both"/>
      </w:pPr>
      <w:r>
        <w:rPr>
          <w:rFonts w:ascii="仿宋_GB2312" w:hAnsi="仿宋_GB2312" w:eastAsia="仿宋_GB2312"/>
          <w:b w:val="0"/>
          <w:color w:val="000000"/>
          <w:sz w:val="32"/>
        </w:rPr>
        <w:t>中药材价格波动风险。中药材作为核心原料，其价格受气候、种植面积、市场投机等因素影响波动剧烈，直接影响公司毛利率水平。</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商誉减值风险。公司历史上通过大规模并购形成商誉，2024年已计提8.53亿元减值。虽然本轮减值一定程度上出清了风险，但剩余商誉对应资产组仍处于政策压力之下，若相关子公司经营持续不及预期，不排除后续继续计提减值的可能。</w:t>
      </w:r>
    </w:p>
    <w:p>
      <w:pPr>
        <w:spacing w:lineRule="exact" w:line="600" w:before="0" w:after="0"/>
        <w:ind w:firstLine="420"/>
        <w:jc w:val="both"/>
      </w:pPr>
      <w:r>
        <w:rPr>
          <w:rFonts w:ascii="仿宋_GB2312" w:hAnsi="仿宋_GB2312" w:eastAsia="仿宋_GB2312"/>
          <w:b w:val="0"/>
          <w:color w:val="000000"/>
          <w:sz w:val="32"/>
        </w:rPr>
        <w:t>盈利波动风险。公司净利润在2023年3.19亿元、2024年-5.54亿元、2025年约1.92亿元之间大幅波动，业绩稳定性较差，对估值形成压制。</w:t>
      </w:r>
    </w:p>
    <w:p>
      <w:pPr>
        <w:spacing w:lineRule="exact" w:line="600" w:before="0" w:after="0"/>
        <w:ind w:firstLine="420"/>
        <w:jc w:val="both"/>
      </w:pPr>
      <w:r>
        <w:rPr>
          <w:rFonts w:ascii="仿宋_GB2312" w:hAnsi="仿宋_GB2312" w:eastAsia="仿宋_GB2312"/>
          <w:b w:val="0"/>
          <w:color w:val="000000"/>
          <w:sz w:val="32"/>
        </w:rPr>
        <w:t>费用刚性风险。2024年公司毛利率59.77%而净利率-6.38%，二者落差超过66个百分点，反映期间费用（主要是销售费用）占比极高。在收入下滑期，销售费用与人工成本的刚性使经营杠杆放大了利润的下滑幅度。</w:t>
      </w:r>
    </w:p>
    <w:p>
      <w:pPr>
        <w:spacing w:lineRule="exact" w:line="600" w:before="0" w:after="0"/>
        <w:ind w:firstLine="420"/>
        <w:jc w:val="both"/>
      </w:pPr>
      <w:r>
        <w:rPr>
          <w:rFonts w:ascii="仿宋_GB2312" w:hAnsi="仿宋_GB2312" w:eastAsia="仿宋_GB2312"/>
          <w:b w:val="0"/>
          <w:color w:val="000000"/>
          <w:sz w:val="32"/>
        </w:rPr>
        <w:t>杠杆与流动性风险。资产负债率由2024年末的约49.25%上升至2025年末的约50.97%，虽仍处可控区间但呈上行趋势；2024年在亏损年度实施约7.11亿元股份回购，对流动性形成一定占用。正面因素是2024年经营现金流净额转正至9.40亿元，现金创造能力已明显修复。</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医药行业销售费用合规是全行业性的监管重点，公司作为销售费用规模较大的中成药企业，需持续防范学术推广活动合规性、商业贿赂、票据管理等方面的合规风险。</w:t>
      </w:r>
    </w:p>
    <w:p>
      <w:pPr>
        <w:spacing w:lineRule="exact" w:line="600" w:before="0" w:after="0"/>
        <w:ind w:firstLine="420"/>
        <w:jc w:val="both"/>
      </w:pPr>
      <w:r>
        <w:rPr>
          <w:rFonts w:ascii="仿宋_GB2312" w:hAnsi="仿宋_GB2312" w:eastAsia="仿宋_GB2312"/>
          <w:b w:val="0"/>
          <w:color w:val="000000"/>
          <w:sz w:val="32"/>
        </w:rPr>
        <w:t>药品质量与药物警戒合规风险。公司产品线覆盖数十个品种、跨越多个生产基地，任一环节出现质量事故均可能触发药品召回、行政处罚乃至品种撤市，对品牌与业绩造成重大冲击。</w:t>
      </w:r>
    </w:p>
    <w:p>
      <w:pPr>
        <w:spacing w:lineRule="exact" w:line="600" w:before="0" w:after="0"/>
        <w:ind w:firstLine="420"/>
        <w:jc w:val="both"/>
      </w:pPr>
      <w:r>
        <w:rPr>
          <w:rFonts w:ascii="仿宋_GB2312" w:hAnsi="仿宋_GB2312" w:eastAsia="仿宋_GB2312"/>
          <w:b w:val="0"/>
          <w:color w:val="000000"/>
          <w:sz w:val="32"/>
        </w:rPr>
        <w:t>信息披露合规风险。作为主板上市公司，公司在重大事项、业绩预告、关联交易、商誉减值等方面的披露及时性与准确性受到严格监管。</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集团管控风险。公司下辖数十家法人主体，跨越十余个省份，业务涵盖中药、化药、生物药、器械、诊断、健康服务、融资租赁等多个领域，集团管控半径极大，存在管理层级过多、决策链条延长、内部协同不足的风险。</w:t>
      </w:r>
    </w:p>
    <w:p>
      <w:pPr>
        <w:spacing w:lineRule="exact" w:line="600" w:before="0" w:after="0"/>
        <w:ind w:firstLine="420"/>
        <w:jc w:val="both"/>
      </w:pPr>
      <w:r>
        <w:rPr>
          <w:rFonts w:ascii="仿宋_GB2312" w:hAnsi="仿宋_GB2312" w:eastAsia="仿宋_GB2312"/>
          <w:b w:val="0"/>
          <w:color w:val="000000"/>
          <w:sz w:val="32"/>
        </w:rPr>
        <w:t>并购整合风险。公司历史上通过并购快速扩张，部分标的在业绩承诺期结束后出现经营下滑，反映出并购后整合与长效激励机制存在改进空间。</w:t>
      </w:r>
    </w:p>
    <w:p>
      <w:pPr>
        <w:spacing w:lineRule="exact" w:line="600" w:before="0" w:after="0"/>
        <w:ind w:firstLine="420"/>
        <w:jc w:val="both"/>
      </w:pPr>
      <w:r>
        <w:rPr>
          <w:rFonts w:ascii="仿宋_GB2312" w:hAnsi="仿宋_GB2312" w:eastAsia="仿宋_GB2312"/>
          <w:b w:val="0"/>
          <w:color w:val="000000"/>
          <w:sz w:val="32"/>
        </w:rPr>
        <w:t>公司治理集中度风险。控股股东持股比例接近半数、实际控制人为家族成员，决策效率高但制衡相对不足，需依靠独立董事、审计委员会与外部审计机构发挥监督作用。</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0" w:after="0"/>
        <w:ind w:firstLine="420"/>
        <w:jc w:val="both"/>
      </w:pPr>
      <w:r>
        <w:rPr>
          <w:rFonts w:ascii="仿宋_GB2312" w:hAnsi="仿宋_GB2312" w:eastAsia="仿宋_GB2312"/>
          <w:b w:val="0"/>
          <w:color w:val="000000"/>
          <w:sz w:val="32"/>
        </w:rPr>
        <w:t>结合公司的资产结构、现金流特征与产业链地位，山东省投资相关金融业务可从以下四个维度切入，形成差异化的服务方案。</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业务基础：公司客户主要为全国性及区域性医药商业公司和等级医疗机构，此类主体信用资质优良、付款确定性高，但账期普遍在90至180天甚至更长，形成规模可观的应收账款沉淀，对公司营运资金构成明显占用。</w:t>
      </w:r>
    </w:p>
    <w:p>
      <w:pPr>
        <w:spacing w:lineRule="exact" w:line="600" w:before="0" w:after="0"/>
        <w:ind w:firstLine="420"/>
        <w:jc w:val="both"/>
      </w:pPr>
      <w:r>
        <w:rPr>
          <w:rFonts w:ascii="仿宋_GB2312" w:hAnsi="仿宋_GB2312" w:eastAsia="仿宋_GB2312"/>
          <w:b w:val="0"/>
          <w:color w:val="000000"/>
          <w:sz w:val="32"/>
        </w:rPr>
        <w:t>切入方案：可针对公司对核心医药商业客户及公立医疗机构的应收账款开展有追索权或无追索权保理业务，加快回款周期、改善经营性现金流。鉴于公司为主板上市公司、2024年经营现金流净额已回正至9.40亿元，且底层债务人资质优良，该业务风险相对可控。</w:t>
      </w:r>
    </w:p>
    <w:p>
      <w:pPr>
        <w:spacing w:lineRule="exact" w:line="600" w:before="0" w:after="0"/>
        <w:ind w:firstLine="420"/>
        <w:jc w:val="both"/>
      </w:pPr>
      <w:r>
        <w:rPr>
          <w:rFonts w:ascii="仿宋_GB2312" w:hAnsi="仿宋_GB2312" w:eastAsia="仿宋_GB2312"/>
          <w:b w:val="0"/>
          <w:color w:val="000000"/>
          <w:sz w:val="32"/>
        </w:rPr>
        <w:t>风险控制要点：一是核查应收账款的真实性与权属，防范重复融资；二是重点选择公立医院和大型商业公司作为底层债务人；三是关注公司渠道库存与销售退回情况，避免虚假贸易背景。</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业务基础：公司作为菏泽高新区现代中药集群的链主企业，上游连接大量中药材种植合作社、饮片加工企业、辅料包材供应商，下游连接经销商与零售终端。这些上下游主体以中小微企业为主，普遍存在融资难、融资贵问题，且高度依赖与步长制药的交易关系。</w:t>
      </w:r>
    </w:p>
    <w:p>
      <w:pPr>
        <w:spacing w:lineRule="exact" w:line="600" w:before="0" w:after="0"/>
        <w:ind w:firstLine="420"/>
        <w:jc w:val="both"/>
      </w:pPr>
      <w:r>
        <w:rPr>
          <w:rFonts w:ascii="仿宋_GB2312" w:hAnsi="仿宋_GB2312" w:eastAsia="仿宋_GB2312"/>
          <w:b w:val="0"/>
          <w:color w:val="000000"/>
          <w:sz w:val="32"/>
        </w:rPr>
        <w:t>切入方案：以步长制药的核心企业信用为依托，搭建"1+N"供应链金融平台。上游可开展订单融资、应收账款反向保理、中药材仓单质押融资，帮助种植端与饮片加工端解决收购季资金需求；下游可开展经销商预付款融资、动产质押融资，帮助经销商扩大铺货规模。</w:t>
      </w:r>
    </w:p>
    <w:p>
      <w:pPr>
        <w:spacing w:lineRule="exact" w:line="600" w:before="0" w:after="0"/>
        <w:ind w:firstLine="420"/>
        <w:jc w:val="both"/>
      </w:pPr>
      <w:r>
        <w:rPr>
          <w:rFonts w:ascii="仿宋_GB2312" w:hAnsi="仿宋_GB2312" w:eastAsia="仿宋_GB2312"/>
          <w:b w:val="0"/>
          <w:color w:val="000000"/>
          <w:sz w:val="32"/>
        </w:rPr>
        <w:t>协同价值：该模式一方面服务了菏泽本地大量中小微涉农与医药配套企业，具有较强的普惠金融和乡村振兴属性，契合山东省属投资机构的政策导向；另一方面通过绑定链主企业信用，实现了风险的集中管理与分散投放，是与产业集群深度协同的最优业务形态。</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业务基础：公司在山东、陕西、吉林、四川、河北、辽宁等地拥有多个生产基地，制药装备、洁净车间设施、检测仪器、智能化改造设备等固定资产投入需求持续存在。同时，随着中药智能制造、数字化车间改造的推进，设备更新换代需求较为明确。</w:t>
      </w:r>
    </w:p>
    <w:p>
      <w:pPr>
        <w:spacing w:lineRule="exact" w:line="600" w:before="0" w:after="0"/>
        <w:ind w:firstLine="420"/>
        <w:jc w:val="both"/>
      </w:pPr>
      <w:r>
        <w:rPr>
          <w:rFonts w:ascii="仿宋_GB2312" w:hAnsi="仿宋_GB2312" w:eastAsia="仿宋_GB2312"/>
          <w:b w:val="0"/>
          <w:color w:val="000000"/>
          <w:sz w:val="32"/>
        </w:rPr>
        <w:t>切入方案：一是针对新增设备开展直接租赁，缓解一次性资本开支压力；二是针对存量优质设备开展售后回租，盘活存量资产、释放流动性，这对当前处于结构调整期、需要现金用于新品种培育的公司具有较强吸引力。</w:t>
      </w:r>
    </w:p>
    <w:p>
      <w:pPr>
        <w:spacing w:lineRule="exact" w:line="600" w:before="0" w:after="0"/>
        <w:ind w:firstLine="420"/>
        <w:jc w:val="both"/>
      </w:pPr>
      <w:r>
        <w:rPr>
          <w:rFonts w:ascii="仿宋_GB2312" w:hAnsi="仿宋_GB2312" w:eastAsia="仿宋_GB2312"/>
          <w:b w:val="0"/>
          <w:color w:val="000000"/>
          <w:sz w:val="32"/>
        </w:rPr>
        <w:t>特别提示：公司自身已设有天津步长健康产业融资租赁有限公司，具备融资租赁牌照。因此在业务设计上宜采取合作而非竞争的思路，可探索与其开展联合租赁、再保理、资产包受让等合作模式，或聚焦于其牌照资源难以覆盖的菏泽本地上下游中小企业设备融资需求。</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业务基础：集群内围绕步长制药形成的中药材种植户、家庭农场、初加工作坊、小型物流服务商、终端药店等经营主体数量众多、单户融资额度小、缺乏抵押物，是传统银行信贷难以充分覆盖的群体。</w:t>
      </w:r>
    </w:p>
    <w:p>
      <w:pPr>
        <w:spacing w:lineRule="exact" w:line="600" w:before="0" w:after="0"/>
        <w:ind w:firstLine="420"/>
        <w:jc w:val="both"/>
      </w:pPr>
      <w:r>
        <w:rPr>
          <w:rFonts w:ascii="仿宋_GB2312" w:hAnsi="仿宋_GB2312" w:eastAsia="仿宋_GB2312"/>
          <w:b w:val="0"/>
          <w:color w:val="000000"/>
          <w:sz w:val="32"/>
        </w:rPr>
        <w:t>切入方案：依托步长制药的采购数据、订单数据与结算流水，开发基于交易数据的信用小额贷款产品，为其上游种植户提供春耕备耕、收购季周转资金，为下游小微药店提供进货垫资。单户额度建议控制在数十万元至数百万元区间，采取"短期、小额、高频、可循环"的产品设计。</w:t>
      </w:r>
    </w:p>
    <w:p>
      <w:pPr>
        <w:spacing w:lineRule="exact" w:line="600" w:before="0" w:after="0"/>
        <w:ind w:firstLine="420"/>
        <w:jc w:val="both"/>
      </w:pPr>
      <w:r>
        <w:rPr>
          <w:rFonts w:ascii="仿宋_GB2312" w:hAnsi="仿宋_GB2312" w:eastAsia="仿宋_GB2312"/>
          <w:b w:val="0"/>
          <w:color w:val="000000"/>
          <w:sz w:val="32"/>
        </w:rPr>
        <w:t>风控建议：以核心企业的历史交易数据作为主要授信依据，辅以订单锁定和回款封闭管理；对中药材种植类客户，可结合政策性农业保险和产地政府增信安排，进一步降低风险敞口。</w:t>
      </w:r>
    </w:p>
    <w:p>
      <w:pPr>
        <w:spacing w:lineRule="exact" w:line="600" w:before="120" w:after="120"/>
        <w:ind w:firstLine="420"/>
        <w:jc w:val="left"/>
      </w:pPr>
      <w:r>
        <w:rPr>
          <w:rFonts w:ascii="楷体_GB2312" w:hAnsi="楷体_GB2312" w:eastAsia="楷体_GB2312"/>
          <w:b w:val="0"/>
          <w:color w:val="000000"/>
          <w:sz w:val="32"/>
        </w:rPr>
        <w:t>（五）综合授信建议</w:t>
      </w:r>
    </w:p>
    <w:p>
      <w:pPr>
        <w:spacing w:lineRule="exact" w:line="600" w:before="0" w:after="0"/>
        <w:ind w:firstLine="420"/>
        <w:jc w:val="both"/>
      </w:pPr>
      <w:r>
        <w:rPr>
          <w:rFonts w:ascii="仿宋_GB2312" w:hAnsi="仿宋_GB2312" w:eastAsia="仿宋_GB2312"/>
          <w:b w:val="0"/>
          <w:color w:val="000000"/>
          <w:sz w:val="32"/>
        </w:rPr>
        <w:t>综合判断，步长制药属于"资产规模大、品牌基础厚、现金流已修复、但盈利波动大、政策敏感度高"的成熟期上市企业。对其母公司层面的授信，建议以短期流动资金类和应收账款类业务为主，把握"看现金流不唯利润"的原则，重点关注经营活动现金流净额、应收账款周转率与商誉余额三项指标的动态变化。</w:t>
      </w:r>
    </w:p>
    <w:p>
      <w:pPr>
        <w:spacing w:lineRule="exact" w:line="600" w:before="0" w:after="0"/>
        <w:ind w:firstLine="420"/>
        <w:jc w:val="both"/>
      </w:pPr>
      <w:r>
        <w:rPr>
          <w:rFonts w:ascii="仿宋_GB2312" w:hAnsi="仿宋_GB2312" w:eastAsia="仿宋_GB2312"/>
          <w:b w:val="0"/>
          <w:color w:val="000000"/>
          <w:sz w:val="32"/>
        </w:rPr>
        <w:t>更具增量价值的方向是围绕其产业链开展批量化的中小企业业务。作为集群链主，步长制药的信用外溢效应可以覆盖菏泽本地大量涉药中小微主体，山东省投资相关业务板块可通过与公司签订战略合作协议、共建供应链金融平台的方式，实现"一点接入、批量获客"，在服务实体经济的同时有效控制单笔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步长制药股份有限公司是A股中药板块的重要企业，也是菏泽市工业经济的支柱和菏泽高新区现代中药特色产业集群的绝对链主。公司拥有二十余年的中成药经营积淀、多个高毛利的独家专利品种、覆盖全国的销售网络以及跨越六省的生产基地布局，规模优势与品牌优势显著。</w:t>
      </w:r>
    </w:p>
    <w:p>
      <w:pPr>
        <w:spacing w:lineRule="exact" w:line="600" w:before="0" w:after="0"/>
        <w:ind w:firstLine="420"/>
        <w:jc w:val="both"/>
      </w:pPr>
      <w:r>
        <w:rPr>
          <w:rFonts w:ascii="仿宋_GB2312" w:hAnsi="仿宋_GB2312" w:eastAsia="仿宋_GB2312"/>
          <w:b w:val="0"/>
          <w:color w:val="000000"/>
          <w:sz w:val="32"/>
        </w:rPr>
        <w:t>但同时必须清醒认识到，公司正处于商业模式转型的关键阵痛期。以医保目录内中药大品种＋高强度学术推广为核心的旧模式，在医保控费、重点监控、集采常态化的政策环境下已难以为继。2024年营业收入下滑16.91%、计提8.53亿元商誉减值、归母净利润亏损5.54亿元，三年营收复合增长率-11.29%在中药Ⅲ行业51家公司中排名第46位，充分说明公司在本轮行业出清中承压较重。</w:t>
      </w:r>
    </w:p>
    <w:p>
      <w:pPr>
        <w:spacing w:lineRule="exact" w:line="600" w:before="0" w:after="0"/>
        <w:ind w:firstLine="420"/>
        <w:jc w:val="both"/>
      </w:pPr>
      <w:r>
        <w:rPr>
          <w:rFonts w:ascii="仿宋_GB2312" w:hAnsi="仿宋_GB2312" w:eastAsia="仿宋_GB2312"/>
          <w:b w:val="0"/>
          <w:color w:val="000000"/>
          <w:sz w:val="32"/>
        </w:rPr>
        <w:t>积极因素在于：一是2024年经营活动现金流净额转正至9.40亿元、同比增长580.5%，说明账面亏损主要来自非付现的减值项目，实际造血能力未受根本损害；二是2024年四季度毛利率环比提升11.49个百分点，结构调整初见成效；三是2025年营业收入回升至约118.75亿元、净利润约1.92亿元实现扭亏，2026年一季度净利率进一步提升至约11.75%，修复趋势得到延续；四是资产负债率约50%、净资产接近百亿元，财务安全垫仍然厚实。</w:t>
      </w:r>
    </w:p>
    <w:p>
      <w:pPr>
        <w:spacing w:lineRule="exact" w:line="600" w:before="0" w:after="0"/>
        <w:ind w:firstLine="420"/>
        <w:jc w:val="both"/>
      </w:pPr>
      <w:r>
        <w:rPr>
          <w:rFonts w:ascii="仿宋_GB2312" w:hAnsi="仿宋_GB2312" w:eastAsia="仿宋_GB2312"/>
          <w:b w:val="0"/>
          <w:color w:val="000000"/>
          <w:sz w:val="32"/>
        </w:rPr>
        <w:t>综合评定，公司属于经营基本面承压但财务安全性尚可、短期风险已充分暴露且部分出清、中期修复路径基本清晰的成熟期企业。从金融合作角度看，公司具备开展保理、供应链金融、融资租赁等业务的良好基础，宜采取"稳存量、控总量、重现金流、强化产业链协同"的合作策略。</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在2024年年度报告中披露的经营计划，未来发展方向主要包括：加大对新产品的推广力度以培育新的增长点、进一步提升市场竞争力；持续推动现有主导产品的循证医学再评价以验证产品疗效并提升市场声誉。</w:t>
      </w:r>
    </w:p>
    <w:p>
      <w:pPr>
        <w:spacing w:lineRule="exact" w:line="600" w:before="0" w:after="0"/>
        <w:ind w:firstLine="420"/>
        <w:jc w:val="both"/>
      </w:pPr>
      <w:r>
        <w:rPr>
          <w:rFonts w:ascii="仿宋_GB2312" w:hAnsi="仿宋_GB2312" w:eastAsia="仿宋_GB2312"/>
          <w:b w:val="0"/>
          <w:color w:val="000000"/>
          <w:sz w:val="32"/>
        </w:rPr>
        <w:t>结合行业趋势判断，公司未来的增长可能来自三个方向：一是中药创新药与经典名方开发，国家近年出台多项支持中医药传承创新发展的政策，为具备研发能力的中药企业提供了新的政策窗口；二是医疗器械、体外诊断等非药业务的规模扩张，虽然当前毛利率偏低，但有助于稳定收入基本盘并提升渠道价值；三是大健康与OTC零售市场的开拓，可以降低对医院处方渠道和医保支付的依赖。</w:t>
      </w:r>
    </w:p>
    <w:p>
      <w:pPr>
        <w:spacing w:lineRule="exact" w:line="600" w:before="0" w:after="0"/>
        <w:ind w:firstLine="420"/>
        <w:jc w:val="both"/>
      </w:pPr>
      <w:r>
        <w:rPr>
          <w:rFonts w:ascii="仿宋_GB2312" w:hAnsi="仿宋_GB2312" w:eastAsia="仿宋_GB2312"/>
          <w:b w:val="0"/>
          <w:color w:val="000000"/>
          <w:sz w:val="32"/>
        </w:rPr>
        <w:t>在区域产业层面，公司作为菏泽高新区现代中药集群链主，未来有望在中药材规范化种植基地建设、中药配方颗粒、中药智能制造等方向进一步深化本地布局，带动集群整体能级提升。</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一是政策不确定性仍未消除。医保目录动态调整每年进行，重点监控目录、集采范围持续扩围，公司存量大品种仍面临进一步被调出或降价的可能。</w:t>
      </w:r>
    </w:p>
    <w:p>
      <w:pPr>
        <w:spacing w:lineRule="exact" w:line="600" w:before="0" w:after="0"/>
        <w:ind w:firstLine="420"/>
        <w:jc w:val="both"/>
      </w:pPr>
      <w:r>
        <w:rPr>
          <w:rFonts w:ascii="仿宋_GB2312" w:hAnsi="仿宋_GB2312" w:eastAsia="仿宋_GB2312"/>
          <w:b w:val="0"/>
          <w:color w:val="000000"/>
          <w:sz w:val="32"/>
        </w:rPr>
        <w:t>二是新增长点培育需要时间。新药研发周期长、投入大、成功率低，医疗器械与大健康业务盈利能力偏弱，短期内难以填补心脑血管板块下滑形成的收入缺口。</w:t>
      </w:r>
    </w:p>
    <w:p>
      <w:pPr>
        <w:spacing w:lineRule="exact" w:line="600" w:before="0" w:after="0"/>
        <w:ind w:firstLine="420"/>
        <w:jc w:val="both"/>
      </w:pPr>
      <w:r>
        <w:rPr>
          <w:rFonts w:ascii="仿宋_GB2312" w:hAnsi="仿宋_GB2312" w:eastAsia="仿宋_GB2312"/>
          <w:b w:val="0"/>
          <w:color w:val="000000"/>
          <w:sz w:val="32"/>
        </w:rPr>
        <w:t>三是费用结构优化难度大。销售费用的压降往往伴随收入的同步下滑，如何在合规前提下实现"降费不降收"，是对管理层运营能力的严峻考验。</w:t>
      </w:r>
    </w:p>
    <w:p>
      <w:pPr>
        <w:spacing w:lineRule="exact" w:line="600" w:before="0" w:after="0"/>
        <w:ind w:firstLine="420"/>
        <w:jc w:val="both"/>
      </w:pPr>
      <w:r>
        <w:rPr>
          <w:rFonts w:ascii="仿宋_GB2312" w:hAnsi="仿宋_GB2312" w:eastAsia="仿宋_GB2312"/>
          <w:b w:val="0"/>
          <w:color w:val="000000"/>
          <w:sz w:val="32"/>
        </w:rPr>
        <w:t>四是治理与管控现代化需求迫切。家族控股型治理结构与庞大的多元化集团架构之间的张力，要求公司在职业经理人引入、集团管控体系升级、子公司激励约束机制建设等方面作出实质性改革。</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步长制药是一家规模领先、品牌深厚、资产厚实但正经历深度转型的中药龙头企业。其2024年的亏损主要源于一次性商誉减值而非现金流恶化，2025年已实现扭亏并延续修复态势。公司作为菏泽高新区现代中药特色产业集群的链主，具有不可替代的区域产业价值。</w:t>
      </w:r>
    </w:p>
    <w:p>
      <w:pPr>
        <w:spacing w:lineRule="exact" w:line="600" w:before="0" w:after="0"/>
        <w:ind w:firstLine="420"/>
        <w:jc w:val="both"/>
      </w:pPr>
      <w:r>
        <w:rPr>
          <w:rFonts w:ascii="仿宋_GB2312" w:hAnsi="仿宋_GB2312" w:eastAsia="仿宋_GB2312"/>
          <w:b w:val="0"/>
          <w:color w:val="000000"/>
          <w:sz w:val="32"/>
        </w:rPr>
        <w:t>对企业的建议：第一，坚定推进产品结构调整，加快高毛利消化、泌尿板块的放量，改善医疗器械业务的盈利模型；第二，加大循证医学投入，为存量大品种构建坚实的临床价值证据，争取医保准入的主动权；第三，进一步压降销售费用率，推动营销体系从关系驱动向学术驱动、数字化驱动转型；第四，审慎评估存量商誉，避免二次减值冲击；第五，深化在菏泽本地的产业链布局，发挥链主带动作用，争取更多地方政策与要素资源支持。</w:t>
      </w:r>
    </w:p>
    <w:p>
      <w:pPr>
        <w:spacing w:lineRule="exact" w:line="600" w:before="0" w:after="0"/>
        <w:ind w:firstLine="420"/>
        <w:jc w:val="both"/>
      </w:pPr>
      <w:r>
        <w:rPr>
          <w:rFonts w:ascii="仿宋_GB2312" w:hAnsi="仿宋_GB2312" w:eastAsia="仿宋_GB2312"/>
          <w:b w:val="0"/>
          <w:color w:val="000000"/>
          <w:sz w:val="32"/>
        </w:rPr>
        <w:t>对金融合作方的建议：宜将公司定位为"稳健型存量客户＋产业链批量获客入口"。母公司层面业务以短期、有明确回款来源的应收账款保理与流动资金支持为主，控制中长期风险敞口；重点发力供应链金融，依托其链主地位批量服务菏泽本地上下游中小微企业，实现服务实体经济与风险分散的双重目标；持续跟踪其经营现金流、应收账款周转、商誉余额及医保目录调整动向，动态调整授信策略。</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《山东步长制药股份有限公司2024年年度报告》，巨潮资讯网，2025年4月26日，公告编号对应文件static.cninfo.com.cn/finalpage/2025-04-26/1223325841.PDF。</w:t>
        <w:br/>
        <w:t>2. 中证智能财讯《步长制药：2024年实现营业总收入110.06亿元》，中国证券报网站，2025年4月27日。</w:t>
        <w:br/>
        <w:t>3. 财中社《步长制药2024年亏损5.54亿元，营业收入降16.9%》，新浪财经，2025年4月27日。</w:t>
        <w:br/>
        <w:t>4. 天眼查企业信息公示（山东步长制药股份有限公司，统一社会信用代码91370000728611939A），含工商登记、股东出资、股权穿透、企业年报及财务概览数据。</w:t>
        <w:br/>
        <w:t>5. 步长制药公司官方网站 www.buchang.com（公司简介、发展历程、产品体系）。</w:t>
        <w:br/>
        <w:t>6. 上海证券交易所网站 www.sse.com.cn 公开披露信息。</w:t>
        <w:br/>
        <w:t>说明：文中2023年营业收入、总资产、净资产、毛利率等指标系依据年报披露的同比变动幅度倒算得出，仅供趋势参考；2025年度及2026年一季度财务数据来源于第三方财务数据库归集口径，最终以公司正式披露的定期报告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