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山东菏泽高新区(现代中药)特色产业集群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山东睿鹰制药集团(睿鹰先锋制药集团)企业分析报告</w:t>
      </w:r>
    </w:p>
    <w:p>
      <w:pPr>
        <w:spacing w:lineRule="exact" w:line="600" w:before="0" w:after="0"/>
        <w:jc w:val="left"/>
      </w:pPr>
      <w:r>
        <w:rPr>
          <w:rFonts w:ascii="仿宋_GB2312" w:hAnsi="仿宋_GB2312" w:eastAsia="仿宋_GB2312"/>
          <w:b w:val="0"/>
          <w:color w:val="000000"/>
          <w:sz w:val="28"/>
        </w:rPr>
        <w:t>（本报告数据来源于天眼查、启信宝等工商信息公示平台，公司官方网站，山东省应急管理厅行政处罚公示，网易新闻等媒体公开报道，菏泽高新区官方网站等公开渠道，统计时点截至最新披露信息。本企业为非上市公司，财务数据未公开披露，报告中未列示具体财务数字。）</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睿鹰制药集团有限公司（以下简称"睿鹰制药"、"公司"），曾用名"山东睿鹰先锋制药有限公司"（使用期间为2010年3月至2018年7月），统一社会信用代码91371700552233224G，成立于2010年3月22日，注册地址为山东省菏泽市昆明路1777号，所属地区为山东省菏泽市牡丹区，登记机关为菏泽市牡丹区市场监督管理局，企业登记状态为存续。</w:t>
      </w:r>
    </w:p>
    <w:p>
      <w:pPr>
        <w:spacing w:lineRule="exact" w:line="600" w:before="0" w:after="0"/>
        <w:ind w:firstLine="420"/>
        <w:jc w:val="both"/>
      </w:pPr>
      <w:r>
        <w:rPr>
          <w:rFonts w:ascii="仿宋_GB2312" w:hAnsi="仿宋_GB2312" w:eastAsia="仿宋_GB2312"/>
          <w:b w:val="0"/>
          <w:color w:val="000000"/>
          <w:sz w:val="32"/>
        </w:rPr>
        <w:t>公司注册资本40000万元人民币，实缴资本40000万元人民币，实缴比例达100%，反映出股东出资到位、资本实力真实。工商注册号371700200010596，组织机构代码55223322-4，纳税人识别号91371700552233224G，纳税人资质为增值税一般纳税人。营业期限为2010年3月22日至2030年3月22日。企业类型为有限责任公司（自然人投资或控股）。</w:t>
      </w:r>
    </w:p>
    <w:p>
      <w:pPr>
        <w:spacing w:lineRule="exact" w:line="600" w:before="0" w:after="0"/>
        <w:ind w:firstLine="420"/>
        <w:jc w:val="both"/>
      </w:pPr>
      <w:r>
        <w:rPr>
          <w:rFonts w:ascii="仿宋_GB2312" w:hAnsi="仿宋_GB2312" w:eastAsia="仿宋_GB2312"/>
          <w:b w:val="0"/>
          <w:color w:val="000000"/>
          <w:sz w:val="32"/>
        </w:rPr>
        <w:t>公司法定代表人为尚中栋，同时担任董事长兼总经理。英文名称为SHANDONG RUIYING PIONEER PHARMACEUTICAL CO.,LTD.，官方网站为www.ruiying.cn，联系电话0530-5854766。公司具有进出口经营资质，进出口企业代码3700552233224，海关注册编码3716960708，为其产品出口国际市场提供了通关便利。</w:t>
      </w:r>
    </w:p>
    <w:p>
      <w:pPr>
        <w:spacing w:lineRule="exact" w:line="600" w:before="0" w:after="0"/>
        <w:ind w:firstLine="420"/>
        <w:jc w:val="both"/>
      </w:pPr>
      <w:r>
        <w:rPr>
          <w:rFonts w:ascii="仿宋_GB2312" w:hAnsi="仿宋_GB2312" w:eastAsia="仿宋_GB2312"/>
          <w:b w:val="0"/>
          <w:color w:val="000000"/>
          <w:sz w:val="32"/>
        </w:rPr>
        <w:t>经营范围方面，公司核准经营范围为：无菌原料药、原料药、冻干粉针剂（抗肿瘤药）的生产与销售（有效期限以许可证为准）；双氧哌嗪、双氧哌嗪甲酰氯、EPCP、HO—EPCP、头孢哌酮粗品、头孢孟多酯粗品、头孢匹胺粗品、6-甲基-4羟基-3吡啶甲酸（A-4）、6-甲基-4羟基烟酰胺-p羟基苯基乙酸（A-6）、7-ATCA、头孢菌素C、7-ACA、氨基酸氧化酶、氨基酰化酶、GL-7-ACA酰化酶、食品、保健品、化妆品、医疗器械的生产与销售；粉针剂（青霉素类）的生产与销售；卫生用品、醇类消毒剂的生产与销售。国民经济行业分类归属于医药制造业项下的化学药品原料药制造（C2710）。</w:t>
      </w:r>
    </w:p>
    <w:p>
      <w:pPr>
        <w:spacing w:lineRule="exact" w:line="600" w:before="0" w:after="0"/>
        <w:ind w:firstLine="420"/>
        <w:jc w:val="both"/>
      </w:pPr>
      <w:r>
        <w:rPr>
          <w:rFonts w:ascii="仿宋_GB2312" w:hAnsi="仿宋_GB2312" w:eastAsia="仿宋_GB2312"/>
          <w:b w:val="0"/>
          <w:color w:val="000000"/>
          <w:sz w:val="32"/>
        </w:rPr>
        <w:t>股权结构方面，根据公开工商登记信息，公司由山东和源制药有限公司持股52.5%、自然人股东彭继先持股37.25%、自然人股东尚中栋持股10.25%。其中山东和源制药有限公司系2018年3月由原"山东和源化学有限公司"更名而来，认缴出资21000万元；彭继先认缴出资14900万元，认缴出资时间2017年12月26日；尚中栋认缴出资4100万元，认缴出资时间2014年2月13日。</w:t>
      </w:r>
    </w:p>
    <w:p>
      <w:pPr>
        <w:spacing w:lineRule="exact" w:line="600" w:before="0" w:after="0"/>
        <w:ind w:firstLine="420"/>
        <w:jc w:val="both"/>
      </w:pPr>
      <w:r>
        <w:rPr>
          <w:rFonts w:ascii="仿宋_GB2312" w:hAnsi="仿宋_GB2312" w:eastAsia="仿宋_GB2312"/>
          <w:b w:val="0"/>
          <w:color w:val="000000"/>
          <w:sz w:val="32"/>
        </w:rPr>
        <w:t>实际控制人方面，根据启信宝穿透分析，彭继先为公司疑似实际控制人及受益所有人，直接持股37.25%，综合持股比例约43.88%。公司为纯民营性质的自然人控股企业，不涉及国有资本出资，无国资层级安排。</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公司为集团化运作的制药企业。根据官方介绍，集团构建了生物发酵、化学合成、无菌制药等五大产品平台，形成完整的产业链条，涵盖从中间体、原料药到制剂的全链条生产能力。</w:t>
      </w:r>
    </w:p>
    <w:p>
      <w:pPr>
        <w:spacing w:lineRule="exact" w:line="600" w:before="0" w:after="0"/>
        <w:ind w:firstLine="420"/>
        <w:jc w:val="both"/>
      </w:pPr>
      <w:r>
        <w:rPr>
          <w:rFonts w:ascii="仿宋_GB2312" w:hAnsi="仿宋_GB2312" w:eastAsia="仿宋_GB2312"/>
          <w:b w:val="0"/>
          <w:color w:val="000000"/>
          <w:sz w:val="32"/>
        </w:rPr>
        <w:t>对外投资方面，据天眼查数据，公司共对外投资18家企业（启信宝口径为对外投资17家，关联企业24家），深度参与医药产业链上下游布局，形成了以集团母公司为核心、多个专业化子公司协同的产业格局。</w:t>
      </w:r>
    </w:p>
    <w:p>
      <w:pPr>
        <w:spacing w:lineRule="exact" w:line="600" w:before="0" w:after="0"/>
        <w:ind w:firstLine="420"/>
        <w:jc w:val="both"/>
      </w:pPr>
      <w:r>
        <w:rPr>
          <w:rFonts w:ascii="仿宋_GB2312" w:hAnsi="仿宋_GB2312" w:eastAsia="仿宋_GB2312"/>
          <w:b w:val="0"/>
          <w:color w:val="000000"/>
          <w:sz w:val="32"/>
        </w:rPr>
        <w:t>分支机构方面，公司设有两家分公司，均位于菏泽市鄄城县：山东睿鹰制药集团有限公司鄄城第一分公司（成立于2018年9月18日，负责人朱瑞清，所属行业为生物药品制造）和山东睿鹰制药集团有限公司鄄城第二分公司（成立于2022年3月3日，负责人闫永刚，所属行业为生物药品制造）。分支机构参保人数35人（2025年报口径）。鄄城布局体现了公司在菏泽市域内的多点产业延伸。</w:t>
      </w:r>
    </w:p>
    <w:p>
      <w:pPr>
        <w:spacing w:lineRule="exact" w:line="600" w:before="0" w:after="0"/>
        <w:ind w:firstLine="420"/>
        <w:jc w:val="both"/>
      </w:pPr>
      <w:r>
        <w:rPr>
          <w:rFonts w:ascii="仿宋_GB2312" w:hAnsi="仿宋_GB2312" w:eastAsia="仿宋_GB2312"/>
          <w:b w:val="0"/>
          <w:color w:val="000000"/>
          <w:sz w:val="32"/>
        </w:rPr>
        <w:t>业务板块划分上，公司产品体系分为六大系列：头孢系列（头孢类原料药及中间体）、青霉素系列、医药中间体系列、抗肿瘤系列、大健康系列以及最新产品系列。这一划分既体现了原料药主业的核心地位，也反映出公司向制剂、大健康领域延伸的战略意图。</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2010年3月22日，公司以"山东睿鹰先锋制药有限公司"名称在菏泽市牡丹区注册成立，起步即定位于原料药与医药中间体的研发生产。</w:t>
      </w:r>
    </w:p>
    <w:p>
      <w:pPr>
        <w:spacing w:lineRule="exact" w:line="600" w:before="0" w:after="0"/>
        <w:ind w:firstLine="420"/>
        <w:jc w:val="both"/>
      </w:pPr>
      <w:r>
        <w:rPr>
          <w:rFonts w:ascii="仿宋_GB2312" w:hAnsi="仿宋_GB2312" w:eastAsia="仿宋_GB2312"/>
          <w:b w:val="0"/>
          <w:color w:val="000000"/>
          <w:sz w:val="32"/>
        </w:rPr>
        <w:t>2014年2月，自然人股东尚中栋出资到位，认缴出资额4100万元；2017年12月，彭继先出资14900万元；2018年3月，山东和源化学有限公司出资21000万元，公司形成"法人股东控股＋核心自然人参股"的股权格局，资本实力显著增强，注册资本达到4亿元并全额实缴。</w:t>
      </w:r>
    </w:p>
    <w:p>
      <w:pPr>
        <w:spacing w:lineRule="exact" w:line="600" w:before="0" w:after="0"/>
        <w:ind w:firstLine="420"/>
        <w:jc w:val="both"/>
      </w:pPr>
      <w:r>
        <w:rPr>
          <w:rFonts w:ascii="仿宋_GB2312" w:hAnsi="仿宋_GB2312" w:eastAsia="仿宋_GB2312"/>
          <w:b w:val="0"/>
          <w:color w:val="000000"/>
          <w:sz w:val="32"/>
        </w:rPr>
        <w:t>2018年7月26日，公司名称由"山东睿鹰先锋制药有限公司"变更为"山东睿鹰制药集团有限公司"，标志着公司完成由单体企业向集团化企业的跃升。同年，公司在鄄城县设立第一分公司，开启市域内多点布局。</w:t>
      </w:r>
    </w:p>
    <w:p>
      <w:pPr>
        <w:spacing w:lineRule="exact" w:line="600" w:before="0" w:after="0"/>
        <w:ind w:firstLine="420"/>
        <w:jc w:val="both"/>
      </w:pPr>
      <w:r>
        <w:rPr>
          <w:rFonts w:ascii="仿宋_GB2312" w:hAnsi="仿宋_GB2312" w:eastAsia="仿宋_GB2312"/>
          <w:b w:val="0"/>
          <w:color w:val="000000"/>
          <w:sz w:val="32"/>
        </w:rPr>
        <w:t>2018年3月，原股东"山东和源化学有限公司"更名为"山东和源制药有限公司"，反映出控股股东自身也在由化工向制药转型，与公司主业形成更紧密的协同。</w:t>
      </w:r>
    </w:p>
    <w:p>
      <w:pPr>
        <w:spacing w:lineRule="exact" w:line="600" w:before="0" w:after="0"/>
        <w:ind w:firstLine="420"/>
        <w:jc w:val="both"/>
      </w:pPr>
      <w:r>
        <w:rPr>
          <w:rFonts w:ascii="仿宋_GB2312" w:hAnsi="仿宋_GB2312" w:eastAsia="仿宋_GB2312"/>
          <w:b w:val="0"/>
          <w:color w:val="000000"/>
          <w:sz w:val="32"/>
        </w:rPr>
        <w:t>2020年2月，公司进行章程备案与经营范围变更；期间因疫情防控需要，公司一度增加卫生用品、醇类消毒剂的生产与销售（有效期至2020年5月18日），体现了公司在公共卫生事件中的应急产能转换能力。</w:t>
      </w:r>
    </w:p>
    <w:p>
      <w:pPr>
        <w:spacing w:lineRule="exact" w:line="600" w:before="0" w:after="0"/>
        <w:ind w:firstLine="420"/>
        <w:jc w:val="both"/>
      </w:pPr>
      <w:r>
        <w:rPr>
          <w:rFonts w:ascii="仿宋_GB2312" w:hAnsi="仿宋_GB2312" w:eastAsia="仿宋_GB2312"/>
          <w:b w:val="0"/>
          <w:color w:val="000000"/>
          <w:sz w:val="32"/>
        </w:rPr>
        <w:t>2022年3月，公司设立鄄城第二分公司；2022年9月13日，公司完成股东发起人信息及章程修订的工商变更登记。历史上公司累计发生工商变更记录数十次，反映出企业处于持续发展与治理规范化的过程中。</w:t>
      </w:r>
    </w:p>
    <w:p>
      <w:pPr>
        <w:spacing w:lineRule="exact" w:line="600" w:before="0" w:after="0"/>
        <w:ind w:firstLine="420"/>
        <w:jc w:val="both"/>
      </w:pPr>
      <w:r>
        <w:rPr>
          <w:rFonts w:ascii="仿宋_GB2312" w:hAnsi="仿宋_GB2312" w:eastAsia="仿宋_GB2312"/>
          <w:b w:val="0"/>
          <w:color w:val="000000"/>
          <w:sz w:val="32"/>
        </w:rPr>
        <w:t>在资质认证方面，公司先后通过了国际质量体系认证、国家药监局GMP认证、国家EHS认证及韩国KFDA认证，并通过中国GMP、美国FDA、欧洲药典适用性认证（EDQM）等国际权威认证，为产品进入欧美、日韩等高端规范市场奠定了资质基础。公司曾入选中国医药工业百强企业，并获评国家级高新技术企业。</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集科研、中试、生产、销售为一体的大型医药制造企业"，是国内知名的头孢类医药中间体和原料药生产大型企业集团，也是菏泽本土医药龙头企业之一，在菏泽高新区（现代中药）特色产业集群中承担着化学原料药与医药中间体环节的骨干支撑作用。</w:t>
      </w:r>
    </w:p>
    <w:p>
      <w:pPr>
        <w:spacing w:lineRule="exact" w:line="600" w:before="0" w:after="0"/>
        <w:ind w:firstLine="420"/>
        <w:jc w:val="both"/>
      </w:pPr>
      <w:r>
        <w:rPr>
          <w:rFonts w:ascii="仿宋_GB2312" w:hAnsi="仿宋_GB2312" w:eastAsia="仿宋_GB2312"/>
          <w:b w:val="0"/>
          <w:color w:val="000000"/>
          <w:sz w:val="32"/>
        </w:rPr>
        <w:t>主营业务方面，公司以头孢类原料药及中间体为核心，同时覆盖青霉素类、医药中间体、抗肿瘤药物和大健康产品。核心产品包括头孢泊肟酯（CAS 87239-81-4）、头孢噻肟钠（CAS 64485-93-4）、头孢曲松钠（CAS 74578-69-1）、头孢匹胺（CAS 70797-11-4）、头孢米诺钠（CAS 75498-96-3）、头孢哌酮钠（CAS 62893-20-3）等头孢系列产品；哌拉西林（CAS 61477-96-1）、哌拉西林钠（CAS 59703-84-3）、舒巴坦钠（CAS 69388-84-7）、美洛西林钠（CAS 59798-30-0）、氟氯西林钠（CAS 1847-24-1）、阿洛西林钠（CAS 37091-65-9）等青霉素及半合成青霉素系列产品；以及注射用去甲斑蝥酸钠等抗肿瘤产品。</w:t>
      </w:r>
    </w:p>
    <w:p>
      <w:pPr>
        <w:spacing w:lineRule="exact" w:line="600" w:before="0" w:after="0"/>
        <w:ind w:firstLine="420"/>
        <w:jc w:val="both"/>
      </w:pPr>
      <w:r>
        <w:rPr>
          <w:rFonts w:ascii="仿宋_GB2312" w:hAnsi="仿宋_GB2312" w:eastAsia="仿宋_GB2312"/>
          <w:b w:val="0"/>
          <w:color w:val="000000"/>
          <w:sz w:val="32"/>
        </w:rPr>
        <w:t>大健康板块方面，公司依托天然药物研发平台打造大健康品牌，推出卡丝妮娅兰幽、兰幽咀嚼片等最新产品，探索由原料药向消费端延伸的第二增长曲线。</w:t>
      </w:r>
    </w:p>
    <w:p>
      <w:pPr>
        <w:spacing w:lineRule="exact" w:line="600" w:before="0" w:after="0"/>
        <w:ind w:firstLine="420"/>
        <w:jc w:val="both"/>
      </w:pPr>
      <w:r>
        <w:rPr>
          <w:rFonts w:ascii="仿宋_GB2312" w:hAnsi="仿宋_GB2312" w:eastAsia="仿宋_GB2312"/>
          <w:b w:val="0"/>
          <w:color w:val="000000"/>
          <w:sz w:val="32"/>
        </w:rPr>
        <w:t>在产业集群中的定位上，公司与集群内以中成药为主的步长制药、华信制药形成互补：步长、华信侧重中成药与大健康终端产品，睿鹰制药侧重化学原料药与中间体，共同构成菏泽医药产业"中药＋化药"双轮驱动的产业格局，提升了集群的完整性与抗风险能力。</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公司为非上市企业，未公开披露分产品收入构成数据。根据公司官方网站介绍及产品目录判断，其业务结构以头孢类原料药及中间体为主体，青霉素类产品为重要补充，抗肿瘤制剂与大健康产品为战略延伸方向。</w:t>
      </w:r>
    </w:p>
    <w:p>
      <w:pPr>
        <w:spacing w:lineRule="exact" w:line="600" w:before="0" w:after="0"/>
        <w:ind w:firstLine="420"/>
        <w:jc w:val="both"/>
      </w:pPr>
      <w:r>
        <w:rPr>
          <w:rFonts w:ascii="仿宋_GB2312" w:hAnsi="仿宋_GB2312" w:eastAsia="仿宋_GB2312"/>
          <w:b w:val="0"/>
          <w:color w:val="000000"/>
          <w:sz w:val="32"/>
        </w:rPr>
        <w:t>从经营范围的排序与许可内容看，无菌原料药、原料药、冻干粉针剂（抗肿瘤药）位列许可事项首位，粉针剂（青霉素类）次之，说明原料药与无菌制剂是公司的核心许可业务。经营范围中列举的双氧哌嗪、双氧哌嗪甲酰氯、EPCP、HO—EPCP、头孢哌酮粗品、头孢孟多酯粗品、头孢匹胺粗品、7-ATCA、头孢菌素C、7-ACA等均为头孢类抗生素生产链条上的关键中间体，进一步印证了公司在头孢产业链上的深度布局。</w:t>
      </w:r>
    </w:p>
    <w:p>
      <w:pPr>
        <w:spacing w:lineRule="exact" w:line="600" w:before="0" w:after="0"/>
        <w:ind w:firstLine="420"/>
        <w:jc w:val="both"/>
      </w:pPr>
      <w:r>
        <w:rPr>
          <w:rFonts w:ascii="仿宋_GB2312" w:hAnsi="仿宋_GB2312" w:eastAsia="仿宋_GB2312"/>
          <w:b w:val="0"/>
          <w:color w:val="000000"/>
          <w:sz w:val="32"/>
        </w:rPr>
        <w:t>值得注意的是，公司经营范围还涵盖氨基酸氧化酶、氨基酰化酶、GL-7-ACA酰化酶等酶制剂，这些是采用酶法工艺生产7-ACA等头孢母核的核心生物催化剂。掌握酶制剂的自主生产能力，意味着公司在绿色酶法工艺路线上具备较强的技术积累，相比传统化学裂解法在环保与成本方面更具优势。</w:t>
      </w:r>
    </w:p>
    <w:p>
      <w:pPr>
        <w:spacing w:lineRule="exact" w:line="600" w:before="0" w:after="0"/>
        <w:ind w:firstLine="420"/>
        <w:jc w:val="both"/>
      </w:pPr>
      <w:r>
        <w:rPr>
          <w:rFonts w:ascii="仿宋_GB2312" w:hAnsi="仿宋_GB2312" w:eastAsia="仿宋_GB2312"/>
          <w:b w:val="0"/>
          <w:color w:val="000000"/>
          <w:sz w:val="32"/>
        </w:rPr>
        <w:t>公司具备食品、保健品、化妆品、医疗器械的生产与销售资质，为其大健康板块的多元化拓展提供了合规基础，但目前该板块尚处于培育阶段，对整体收入的贡献程度未公开披露。</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头孢系列是公司的支柱产品线。公司主推产品包括头孢泊肟酯、头孢噻肟钠、头孢曲松钠、头孢匹胺、头孢米诺钠、头孢哌酮钠等，覆盖第一代至第四代头孢菌素的多个重要品种。头孢曲松钠主要用于治疗呼吸道感染、泌尿系统感染、淋病及术前感染预防，属于临床用量大、市场需求稳定的品种。</w:t>
      </w:r>
    </w:p>
    <w:p>
      <w:pPr>
        <w:spacing w:lineRule="exact" w:line="600" w:before="0" w:after="0"/>
        <w:ind w:firstLine="420"/>
        <w:jc w:val="both"/>
      </w:pPr>
      <w:r>
        <w:rPr>
          <w:rFonts w:ascii="仿宋_GB2312" w:hAnsi="仿宋_GB2312" w:eastAsia="仿宋_GB2312"/>
          <w:b w:val="0"/>
          <w:color w:val="000000"/>
          <w:sz w:val="32"/>
        </w:rPr>
        <w:t>青霉素系列涵盖哌拉西林、哌拉西林钠、舒巴坦钠、美洛西林钠、氟氯西林钠、阿洛西林钠等半合成青霉素与β-内酰胺酶抑制剂产品。其中舒巴坦钠常与头孢哌酮配伍形成复方制剂，与公司头孢哌酮钠产品形成协同，体现了产品线设计上的配套性思维。</w:t>
      </w:r>
    </w:p>
    <w:p>
      <w:pPr>
        <w:spacing w:lineRule="exact" w:line="600" w:before="0" w:after="0"/>
        <w:ind w:firstLine="420"/>
        <w:jc w:val="both"/>
      </w:pPr>
      <w:r>
        <w:rPr>
          <w:rFonts w:ascii="仿宋_GB2312" w:hAnsi="仿宋_GB2312" w:eastAsia="仿宋_GB2312"/>
          <w:b w:val="0"/>
          <w:color w:val="000000"/>
          <w:sz w:val="32"/>
        </w:rPr>
        <w:t>医药中间体系列为公司产业链前端产品，主要供应给下游原料药企业，也为公司自身原料药生产提供内部配套，有助于降低外购依赖、提升成本控制能力。</w:t>
      </w:r>
    </w:p>
    <w:p>
      <w:pPr>
        <w:spacing w:lineRule="exact" w:line="600" w:before="0" w:after="0"/>
        <w:ind w:firstLine="420"/>
        <w:jc w:val="both"/>
      </w:pPr>
      <w:r>
        <w:rPr>
          <w:rFonts w:ascii="仿宋_GB2312" w:hAnsi="仿宋_GB2312" w:eastAsia="仿宋_GB2312"/>
          <w:b w:val="0"/>
          <w:color w:val="000000"/>
          <w:sz w:val="32"/>
        </w:rPr>
        <w:t>抗肿瘤系列以注射用去甲斑蝥酸钠为代表产品。该品种主要成份为去甲斑蝥酸钠，化学名称为1,2-顺-3,6-氧桥-六氢化邻苯二甲酸钠盐，属于冻干粉针剂型，需要在无菌条件下生产，技术门槛与质量要求较高。</w:t>
      </w:r>
    </w:p>
    <w:p>
      <w:pPr>
        <w:spacing w:lineRule="exact" w:line="600" w:before="0" w:after="0"/>
        <w:ind w:firstLine="420"/>
        <w:jc w:val="both"/>
      </w:pPr>
      <w:r>
        <w:rPr>
          <w:rFonts w:ascii="仿宋_GB2312" w:hAnsi="仿宋_GB2312" w:eastAsia="仿宋_GB2312"/>
          <w:b w:val="0"/>
          <w:color w:val="000000"/>
          <w:sz w:val="32"/>
        </w:rPr>
        <w:t>大健康系列依托公司天然药物研发平台，推出卡丝妮娅兰幽、兰幽咀嚼片等消费类产品，试图利用公司的制药级质量管理能力切入大健康消费市场，但该板块目前品牌影响力和渠道基础仍需培育。</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结构以B端为主。原料药和医药中间体产品的直接客户为国内外制剂生产企业和原料药贸易商，属于典型的产业链中游供应商角色。公司参与招投标项目达661次（天眼查口径），说明其在集中采购和政府采购渠道具有较为活跃的参与度。</w:t>
      </w:r>
    </w:p>
    <w:p>
      <w:pPr>
        <w:spacing w:lineRule="exact" w:line="600" w:before="0" w:after="0"/>
        <w:ind w:firstLine="420"/>
        <w:jc w:val="both"/>
      </w:pPr>
      <w:r>
        <w:rPr>
          <w:rFonts w:ascii="仿宋_GB2312" w:hAnsi="仿宋_GB2312" w:eastAsia="仿宋_GB2312"/>
          <w:b w:val="0"/>
          <w:color w:val="000000"/>
          <w:sz w:val="32"/>
        </w:rPr>
        <w:t>国际客户方面，公司产品已进入美国市场，并通过韩国KFDA认证、美国FDA认证、欧洲EDQM认证，具备向欧美日韩等规范市场供货的资质条件。出口业务的开展意味着公司客户结构具有国际化特征，能够在一定程度上分散国内市场政策与价格波动风险。</w:t>
      </w:r>
    </w:p>
    <w:p>
      <w:pPr>
        <w:spacing w:lineRule="exact" w:line="600" w:before="0" w:after="0"/>
        <w:ind w:firstLine="420"/>
        <w:jc w:val="both"/>
      </w:pPr>
      <w:r>
        <w:rPr>
          <w:rFonts w:ascii="仿宋_GB2312" w:hAnsi="仿宋_GB2312" w:eastAsia="仿宋_GB2312"/>
          <w:b w:val="0"/>
          <w:color w:val="000000"/>
          <w:sz w:val="32"/>
        </w:rPr>
        <w:t>客户黏性方面，原料药供应商需要通过下游制剂企业的严格审计与注册关联（DMF/CEP登记），一旦进入客户的合格供应商名录并完成注册关联，切换成本极高，客户关系通常较为稳定和长期。这是公司业务模式的重要优势。</w:t>
      </w:r>
    </w:p>
    <w:p>
      <w:pPr>
        <w:spacing w:lineRule="exact" w:line="600" w:before="0" w:after="0"/>
        <w:ind w:firstLine="420"/>
        <w:jc w:val="both"/>
      </w:pPr>
      <w:r>
        <w:rPr>
          <w:rFonts w:ascii="仿宋_GB2312" w:hAnsi="仿宋_GB2312" w:eastAsia="仿宋_GB2312"/>
          <w:b w:val="0"/>
          <w:color w:val="000000"/>
          <w:sz w:val="32"/>
        </w:rPr>
        <w:t>客户集中度风险方面，由于公司未公开披露客户明细，无法量化评估。但从行业规律看，原料药企业往往面临大客户依赖问题，需关注单一大客户流失可能带来的收入冲击。</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采购主要包括发酵原料（葡萄糖、玉米浆、豆粕等农产品类培养基原料）、化工原料（有机溶剂、酸碱、催化剂等）、能源动力（蒸汽、电力）以及包装材料。其中发酵原料价格受农产品市场波动影响，化工原料价格受石化产业链周期影响，能源成本在发酵与合成工艺中占比较高。</w:t>
      </w:r>
    </w:p>
    <w:p>
      <w:pPr>
        <w:spacing w:lineRule="exact" w:line="600" w:before="0" w:after="0"/>
        <w:ind w:firstLine="420"/>
        <w:jc w:val="both"/>
      </w:pPr>
      <w:r>
        <w:rPr>
          <w:rFonts w:ascii="仿宋_GB2312" w:hAnsi="仿宋_GB2312" w:eastAsia="仿宋_GB2312"/>
          <w:b w:val="0"/>
          <w:color w:val="000000"/>
          <w:sz w:val="32"/>
        </w:rPr>
        <w:t>公司控股股东山东和源制药有限公司（原山东和源化学有限公司）系化工背景企业，这一股东背景可能为公司在化工原料采购、化学合成工艺等方面提供协同支持，形成一定的纵向一体化优势。</w:t>
      </w:r>
    </w:p>
    <w:p>
      <w:pPr>
        <w:spacing w:lineRule="exact" w:line="600" w:before="0" w:after="0"/>
        <w:ind w:firstLine="420"/>
        <w:jc w:val="both"/>
      </w:pPr>
      <w:r>
        <w:rPr>
          <w:rFonts w:ascii="仿宋_GB2312" w:hAnsi="仿宋_GB2312" w:eastAsia="仿宋_GB2312"/>
          <w:b w:val="0"/>
          <w:color w:val="000000"/>
          <w:sz w:val="32"/>
        </w:rPr>
        <w:t>需要特别关注的是危险化学品管理问题。原料药生产过程中大量使用危险化学品，采购、储存、使用各环节均需严格的资质与安全管理。公司在此方面曾出现合规瑕疵（详见风险分析部分），提示其供应链的安全合规管理体系仍有改进空间。</w:t>
      </w:r>
    </w:p>
    <w:p>
      <w:pPr>
        <w:spacing w:lineRule="exact" w:line="600" w:before="120" w:after="120"/>
        <w:ind w:firstLine="420"/>
        <w:jc w:val="left"/>
      </w:pPr>
      <w:r>
        <w:rPr>
          <w:rFonts w:ascii="楷体_GB2312" w:hAnsi="楷体_GB2312" w:eastAsia="楷体_GB2312"/>
          <w:b w:val="0"/>
          <w:color w:val="000000"/>
          <w:sz w:val="32"/>
        </w:rPr>
        <w:t>（五）产能、资源与牌照</w:t>
      </w:r>
    </w:p>
    <w:p>
      <w:pPr>
        <w:spacing w:lineRule="exact" w:line="600" w:before="0" w:after="0"/>
        <w:ind w:firstLine="420"/>
        <w:jc w:val="both"/>
      </w:pPr>
      <w:r>
        <w:rPr>
          <w:rFonts w:ascii="仿宋_GB2312" w:hAnsi="仿宋_GB2312" w:eastAsia="仿宋_GB2312"/>
          <w:b w:val="0"/>
          <w:color w:val="000000"/>
          <w:sz w:val="32"/>
        </w:rPr>
        <w:t>生产资质方面，公司持有无菌原料药、原料药、冻干粉针剂（抗肿瘤药）、粉针剂（青霉素类）的生产许可，并通过国家药监局GMP认证。据公开信息，公司拥有行政许可74个（天眼查口径），资质储备较为丰富。</w:t>
      </w:r>
    </w:p>
    <w:p>
      <w:pPr>
        <w:spacing w:lineRule="exact" w:line="600" w:before="0" w:after="0"/>
        <w:ind w:firstLine="420"/>
        <w:jc w:val="both"/>
      </w:pPr>
      <w:r>
        <w:rPr>
          <w:rFonts w:ascii="仿宋_GB2312" w:hAnsi="仿宋_GB2312" w:eastAsia="仿宋_GB2312"/>
          <w:b w:val="0"/>
          <w:color w:val="000000"/>
          <w:sz w:val="32"/>
        </w:rPr>
        <w:t>国际认证方面，公司先后通过国际质量体系认证、国家EHS认证、韩国KFDA认证，以及中国GMP、美国FDA、欧洲EDQM等国际权威认证。其中FDA和EDQM认证是原料药进入美国和欧盟规范市场的通行证，获取难度大、维护成本高，是公司重要的无形资产。</w:t>
      </w:r>
    </w:p>
    <w:p>
      <w:pPr>
        <w:spacing w:lineRule="exact" w:line="600" w:before="0" w:after="0"/>
        <w:ind w:firstLine="420"/>
        <w:jc w:val="both"/>
      </w:pPr>
      <w:r>
        <w:rPr>
          <w:rFonts w:ascii="仿宋_GB2312" w:hAnsi="仿宋_GB2312" w:eastAsia="仿宋_GB2312"/>
          <w:b w:val="0"/>
          <w:color w:val="000000"/>
          <w:sz w:val="32"/>
        </w:rPr>
        <w:t>技术平台方面，公司构建了生物发酵、化学合成、无菌制药等五大产品平台，形成完整产业链。据公司官网介绍，公司研发出200多个品种，注册申报了100余个药品文号，多个产品突破国外技术垄断，95%的产品为自行开发。</w:t>
      </w:r>
    </w:p>
    <w:p>
      <w:pPr>
        <w:spacing w:lineRule="exact" w:line="600" w:before="0" w:after="0"/>
        <w:ind w:firstLine="420"/>
        <w:jc w:val="both"/>
      </w:pPr>
      <w:r>
        <w:rPr>
          <w:rFonts w:ascii="仿宋_GB2312" w:hAnsi="仿宋_GB2312" w:eastAsia="仿宋_GB2312"/>
          <w:b w:val="0"/>
          <w:color w:val="000000"/>
          <w:sz w:val="32"/>
        </w:rPr>
        <w:t>知识产权方面，据天眼查数据，公司拥有商标信息11条、专利信息60条、著作权信息10条，知识产权体系以专利为主，符合原料药企业以工艺技术为核心竞争力的行业特征。</w:t>
      </w:r>
    </w:p>
    <w:p>
      <w:pPr>
        <w:spacing w:lineRule="exact" w:line="600" w:before="0" w:after="0"/>
        <w:ind w:firstLine="420"/>
        <w:jc w:val="both"/>
      </w:pPr>
      <w:r>
        <w:rPr>
          <w:rFonts w:ascii="仿宋_GB2312" w:hAnsi="仿宋_GB2312" w:eastAsia="仿宋_GB2312"/>
          <w:b w:val="0"/>
          <w:color w:val="000000"/>
          <w:sz w:val="32"/>
        </w:rPr>
        <w:t>人力资源方面，据公司官网介绍现有员工1500人，各类专业技术人员占员工总数40%以上；工商年报口径参保人数为829人（2025年报），分支机构参保人数35人，企查查口径2023年工商年报社保人数为930人。不同口径差异主要源于集团口径与单一法人主体口径的区别，以及劳务派遣、集团内其他法人主体用工的统计归属。</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公司销售模式以直销为主。原料药和中间体业务通常采取与下游制剂企业直接签订供货合同的方式，辅以贸易商渠道覆盖中小客户和海外零散市场。</w:t>
      </w:r>
    </w:p>
    <w:p>
      <w:pPr>
        <w:spacing w:lineRule="exact" w:line="600" w:before="0" w:after="0"/>
        <w:ind w:firstLine="420"/>
        <w:jc w:val="both"/>
      </w:pPr>
      <w:r>
        <w:rPr>
          <w:rFonts w:ascii="仿宋_GB2312" w:hAnsi="仿宋_GB2312" w:eastAsia="仿宋_GB2312"/>
          <w:b w:val="0"/>
          <w:color w:val="000000"/>
          <w:sz w:val="32"/>
        </w:rPr>
        <w:t>国内渠道方面，公司通过参与药品集中采购、与国内大型制剂企业建立长期供货关系开展业务，累计参与招投标项目661次，显示出较强的市场开拓活跃度。</w:t>
      </w:r>
    </w:p>
    <w:p>
      <w:pPr>
        <w:spacing w:lineRule="exact" w:line="600" w:before="0" w:after="0"/>
        <w:ind w:firstLine="420"/>
        <w:jc w:val="both"/>
      </w:pPr>
      <w:r>
        <w:rPr>
          <w:rFonts w:ascii="仿宋_GB2312" w:hAnsi="仿宋_GB2312" w:eastAsia="仿宋_GB2312"/>
          <w:b w:val="0"/>
          <w:color w:val="000000"/>
          <w:sz w:val="32"/>
        </w:rPr>
        <w:t>国际渠道方面，公司凭借FDA、EDQM、KFDA等国际认证资质，产品出口至美国等海外市场。公司拥有独立的进出口企业代码和海关注册编码，具备自主开展进出口业务的能力，无需依赖外贸代理，有利于提升出口业务的利润率和客户响应速度。</w:t>
      </w:r>
    </w:p>
    <w:p>
      <w:pPr>
        <w:spacing w:lineRule="exact" w:line="600" w:before="0" w:after="0"/>
        <w:ind w:firstLine="420"/>
        <w:jc w:val="both"/>
      </w:pPr>
      <w:r>
        <w:rPr>
          <w:rFonts w:ascii="仿宋_GB2312" w:hAnsi="仿宋_GB2312" w:eastAsia="仿宋_GB2312"/>
          <w:b w:val="0"/>
          <w:color w:val="000000"/>
          <w:sz w:val="32"/>
        </w:rPr>
        <w:t>大健康产品渠道方面，卡丝妮娅兰幽、兰幽咀嚼片等消费类产品需要构建与原料药业务完全不同的B2C渠道体系，包括电商平台、药店零售、经销代理等，这对以B2B为主的公司而言是一项新的能力挑战。</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企业，营业收入、利润等经营数据未公开披露。可获取的间接指标包括：企业规模被启信宝评定为"大型"，员工数量930人（2023年工商年报口径），公司官网称员工总数1500人；天眼评分95分，属于较高水平。</w:t>
      </w:r>
    </w:p>
    <w:p>
      <w:pPr>
        <w:spacing w:lineRule="exact" w:line="600" w:before="0" w:after="0"/>
        <w:ind w:firstLine="420"/>
        <w:jc w:val="both"/>
      </w:pPr>
      <w:r>
        <w:rPr>
          <w:rFonts w:ascii="仿宋_GB2312" w:hAnsi="仿宋_GB2312" w:eastAsia="仿宋_GB2312"/>
          <w:b w:val="0"/>
          <w:color w:val="000000"/>
          <w:sz w:val="32"/>
        </w:rPr>
        <w:t>行业地位方面，公司曾入选中国医药工业百强企业，是国内知名的头孢类医药中间体和原料药生产大型企业集团。在菏泽本地，公司被媒体称为"菏泽本土医药龙头企业"，是菏泽地区医药产业的重要支撑力量。</w:t>
      </w:r>
    </w:p>
    <w:p>
      <w:pPr>
        <w:spacing w:lineRule="exact" w:line="600" w:before="0" w:after="0"/>
        <w:ind w:firstLine="420"/>
        <w:jc w:val="both"/>
      </w:pPr>
      <w:r>
        <w:rPr>
          <w:rFonts w:ascii="仿宋_GB2312" w:hAnsi="仿宋_GB2312" w:eastAsia="仿宋_GB2312"/>
          <w:b w:val="0"/>
          <w:color w:val="000000"/>
          <w:sz w:val="32"/>
        </w:rPr>
        <w:t>技术地位方面，公司多个产品突破国外技术垄断，95%的产品自行开发，注册申报药品文号100余个，在头孢类原料药细分领域具备较强的品种覆盖度和工艺技术积累。</w:t>
      </w:r>
    </w:p>
    <w:p>
      <w:pPr>
        <w:spacing w:lineRule="exact" w:line="600" w:before="0" w:after="0"/>
        <w:ind w:firstLine="420"/>
        <w:jc w:val="both"/>
      </w:pPr>
      <w:r>
        <w:rPr>
          <w:rFonts w:ascii="仿宋_GB2312" w:hAnsi="仿宋_GB2312" w:eastAsia="仿宋_GB2312"/>
          <w:b w:val="0"/>
          <w:color w:val="000000"/>
          <w:sz w:val="32"/>
        </w:rPr>
        <w:t>由于缺乏公开的销量与市场份额数据，无法精确量化公司在头孢类原料药市场的占有率。从行业格局看，国内头孢类原料药市场竞争者众多，包括多家上市公司和大型民营企业，公司应属于第二梯队中的重要参与者。</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公司为非上市有限责任公司，未在证券交易所或全国中小企业股份转让系统挂牌，无强制性财务信息披露义务。经检索巨潮资讯网、天眼查、启信宝、水滴信用等公开渠道，未能获取公司近三年经审计的营业收入、净利润、总资产、净资产等财务数据。</w:t>
      </w:r>
    </w:p>
    <w:p>
      <w:pPr>
        <w:spacing w:lineRule="exact" w:line="600" w:before="0" w:after="0"/>
        <w:ind w:firstLine="420"/>
        <w:jc w:val="both"/>
      </w:pPr>
      <w:r>
        <w:rPr>
          <w:rFonts w:ascii="仿宋_GB2312" w:hAnsi="仿宋_GB2312" w:eastAsia="仿宋_GB2312"/>
          <w:b w:val="0"/>
          <w:color w:val="000000"/>
          <w:sz w:val="32"/>
        </w:rPr>
        <w:t>据此，本报告如实标注：山东睿鹰制药集团有限公司财务数据未公开披露。为遵守数据真实性原则，本报告不对其营业收入、利润、资产负债等指标进行任何估算或推测。</w:t>
      </w:r>
    </w:p>
    <w:p>
      <w:pPr>
        <w:spacing w:lineRule="exact" w:line="600" w:before="0" w:after="0"/>
        <w:ind w:firstLine="420"/>
        <w:jc w:val="both"/>
      </w:pPr>
      <w:r>
        <w:rPr>
          <w:rFonts w:ascii="仿宋_GB2312" w:hAnsi="仿宋_GB2312" w:eastAsia="仿宋_GB2312"/>
          <w:b w:val="0"/>
          <w:color w:val="000000"/>
          <w:sz w:val="32"/>
        </w:rPr>
        <w:t>可确认的资本类信息为：公司注册资本40000万元人民币，实缴资本40000万元人民币，实缴率100%。股东出资均已到位，其中山东和源制药有限公司出资21000万元、彭继先出资14900万元、尚中栋出资4100万元。4亿元的实缴资本规模在菏泽本地制造业企业中处于较高水平，反映出股东的资本实力和对企业的长期投入意愿。</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在无公开财务数据的情况下，可从行业规律与公司业务特征作定性判断。原料药与医药中间体行业属于典型的周期性行业，产品价格随供需关系波动明显，毛利率通常低于制剂企业但高于普通化工品。头孢类原料药经过多年的产能整合与环保约束，行业集中度有所提升，价格波动幅度较此前有所收窄。</w:t>
      </w:r>
    </w:p>
    <w:p>
      <w:pPr>
        <w:spacing w:lineRule="exact" w:line="600" w:before="0" w:after="0"/>
        <w:ind w:firstLine="420"/>
        <w:jc w:val="both"/>
      </w:pPr>
      <w:r>
        <w:rPr>
          <w:rFonts w:ascii="仿宋_GB2312" w:hAnsi="仿宋_GB2312" w:eastAsia="仿宋_GB2312"/>
          <w:b w:val="0"/>
          <w:color w:val="000000"/>
          <w:sz w:val="32"/>
        </w:rPr>
        <w:t>正面因素包括：公司通过FDA、EDQM等国际认证，出口业务通常具有更高的价格和毛利水平；公司具备中间体到原料药的一体化生产能力，能够摊薄成本、提升毛利；公司掌握酶法工艺相关酶制剂的生产能力，相较外购酶制剂的企业具有成本优势。</w:t>
      </w:r>
    </w:p>
    <w:p>
      <w:pPr>
        <w:spacing w:lineRule="exact" w:line="600" w:before="0" w:after="0"/>
        <w:ind w:firstLine="420"/>
        <w:jc w:val="both"/>
      </w:pPr>
      <w:r>
        <w:rPr>
          <w:rFonts w:ascii="仿宋_GB2312" w:hAnsi="仿宋_GB2312" w:eastAsia="仿宋_GB2312"/>
          <w:b w:val="0"/>
          <w:color w:val="000000"/>
          <w:sz w:val="32"/>
        </w:rPr>
        <w:t>压力因素包括：抗生素行业受国家抗菌药物临床应用管理政策约束，国内需求增长受限；环保与安全生产投入持续加大，推高固定成本；原料药集中带量采购的推进，可能通过下游制剂企业向上游传导降价压力。</w:t>
      </w:r>
    </w:p>
    <w:p>
      <w:pPr>
        <w:spacing w:lineRule="exact" w:line="600" w:before="0" w:after="0"/>
        <w:ind w:firstLine="420"/>
        <w:jc w:val="both"/>
      </w:pPr>
      <w:r>
        <w:rPr>
          <w:rFonts w:ascii="仿宋_GB2312" w:hAnsi="仿宋_GB2312" w:eastAsia="仿宋_GB2312"/>
          <w:b w:val="0"/>
          <w:color w:val="000000"/>
          <w:sz w:val="32"/>
        </w:rPr>
        <w:t>综合判断，公司作为具备国际认证资质和一体化产业链的原料药企业，盈利能力应处于行业中上水平，但具体数值无法核实，需通过实地尽调获取经审计财务报表方能准确评估。</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资产结构预计以固定资产为主。原料药生产属于重资产行业，发酵罐、反应釜、结晶设备、无菌车间、环保处理设施等固定资产投资规模大、专用性强。公司在菏泽牡丹区和鄄城县均有生产基地布局，购地信息显示公司拥有自有土地资源。</w:t>
      </w:r>
    </w:p>
    <w:p>
      <w:pPr>
        <w:spacing w:lineRule="exact" w:line="600" w:before="0" w:after="0"/>
        <w:ind w:firstLine="420"/>
        <w:jc w:val="both"/>
      </w:pPr>
      <w:r>
        <w:rPr>
          <w:rFonts w:ascii="仿宋_GB2312" w:hAnsi="仿宋_GB2312" w:eastAsia="仿宋_GB2312"/>
          <w:b w:val="0"/>
          <w:color w:val="000000"/>
          <w:sz w:val="32"/>
        </w:rPr>
        <w:t>无形资产方面，公司拥有专利60条、商标11条、著作权10条，以及FDA、EDQM、KFDA等国际认证资质和74个行政许可。这些无形资产虽然在账面价值上可能体现有限，但构成公司实质性的竞争壁垒。</w:t>
      </w:r>
    </w:p>
    <w:p>
      <w:pPr>
        <w:spacing w:lineRule="exact" w:line="600" w:before="0" w:after="0"/>
        <w:ind w:firstLine="420"/>
        <w:jc w:val="both"/>
      </w:pPr>
      <w:r>
        <w:rPr>
          <w:rFonts w:ascii="仿宋_GB2312" w:hAnsi="仿宋_GB2312" w:eastAsia="仿宋_GB2312"/>
          <w:b w:val="0"/>
          <w:color w:val="000000"/>
          <w:sz w:val="32"/>
        </w:rPr>
        <w:t>对外投资方面，公司对外投资18家企业，长期股权投资在资产中可能占有一定比重。需关注被投资企业的经营质量与投资回报情况，避免形成资产沉淀。</w:t>
      </w:r>
    </w:p>
    <w:p>
      <w:pPr>
        <w:spacing w:lineRule="exact" w:line="600" w:before="0" w:after="0"/>
        <w:ind w:firstLine="420"/>
        <w:jc w:val="both"/>
      </w:pPr>
      <w:r>
        <w:rPr>
          <w:rFonts w:ascii="仿宋_GB2312" w:hAnsi="仿宋_GB2312" w:eastAsia="仿宋_GB2312"/>
          <w:b w:val="0"/>
          <w:color w:val="000000"/>
          <w:sz w:val="32"/>
        </w:rPr>
        <w:t>应收账款与存货方面，原料药企业向下游制剂企业销售通常给予一定账期，出口业务的账期和汇率风险敞口更需关注；存货方面，原料药和中间体产品有效期相对较长，但价格波动可能带来跌价风险。上述项目的具体规模因财务数据未公开而无法评估。</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公司负债规模与资产负债率未公开披露。可参考的间接信息包括：公司注册资本4亿元且全额实缴，权益基础较为扎实；公司存在股权出质记录相关查询项，但具体出质情况需以最新工商登记为准。</w:t>
      </w:r>
    </w:p>
    <w:p>
      <w:pPr>
        <w:spacing w:lineRule="exact" w:line="600" w:before="0" w:after="0"/>
        <w:ind w:firstLine="420"/>
        <w:jc w:val="both"/>
      </w:pPr>
      <w:r>
        <w:rPr>
          <w:rFonts w:ascii="仿宋_GB2312" w:hAnsi="仿宋_GB2312" w:eastAsia="仿宋_GB2312"/>
          <w:b w:val="0"/>
          <w:color w:val="000000"/>
          <w:sz w:val="32"/>
        </w:rPr>
        <w:t>从行业特征看，原料药企业因固定资产投资规模大，通常存在一定规模的银行长期借款和固定资产融资；同时因原料采购与产品销售的账期错配，也需要流动资金贷款支持。</w:t>
      </w:r>
    </w:p>
    <w:p>
      <w:pPr>
        <w:spacing w:lineRule="exact" w:line="600" w:before="0" w:after="0"/>
        <w:ind w:firstLine="420"/>
        <w:jc w:val="both"/>
      </w:pPr>
      <w:r>
        <w:rPr>
          <w:rFonts w:ascii="仿宋_GB2312" w:hAnsi="仿宋_GB2312" w:eastAsia="仿宋_GB2312"/>
          <w:b w:val="0"/>
          <w:color w:val="000000"/>
          <w:sz w:val="32"/>
        </w:rPr>
        <w:t>风险信号方面，据天眼查数据，公司存在裁判文书4条、开庭公告10条、立案信息3条。诉讼数量在同等规模企业中属于正常范围，未发现被执行人、失信被执行人等严重信用负面记录，说明公司整体履约情况良好。</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公司现金流数据未公开披露。从业务模式判断，公司现金流具有以下特征：一是经营性现金流受产品价格周期影响明显，在抗生素原料药价格上行期现金回笼较好，下行期则承压；二是出口业务的信用证或电汇结算方式相对国内赊销回款更为可靠，有助于稳定现金流；三是重资产属性决定了资本性支出需求持续存在，环保设施升级、产能技改、GMP符合性改造等均需持续投入。</w:t>
      </w:r>
    </w:p>
    <w:p>
      <w:pPr>
        <w:spacing w:lineRule="exact" w:line="600" w:before="0" w:after="0"/>
        <w:ind w:firstLine="420"/>
        <w:jc w:val="both"/>
      </w:pPr>
      <w:r>
        <w:rPr>
          <w:rFonts w:ascii="仿宋_GB2312" w:hAnsi="仿宋_GB2312" w:eastAsia="仿宋_GB2312"/>
          <w:b w:val="0"/>
          <w:color w:val="000000"/>
          <w:sz w:val="32"/>
        </w:rPr>
        <w:t>公司实缴资本4亿元全额到位，说明股东具备较强的现金出资能力，在必要时可通过股东增资等方式补充流动性。</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由于公司财务数据未公开，无法进行量化的横向财务对标。此处从可比维度作定性比较。</w:t>
      </w:r>
    </w:p>
    <w:p>
      <w:pPr>
        <w:spacing w:lineRule="exact" w:line="600" w:before="0" w:after="0"/>
        <w:ind w:firstLine="420"/>
        <w:jc w:val="both"/>
      </w:pPr>
      <w:r>
        <w:rPr>
          <w:rFonts w:ascii="仿宋_GB2312" w:hAnsi="仿宋_GB2312" w:eastAsia="仿宋_GB2312"/>
          <w:b w:val="0"/>
          <w:color w:val="000000"/>
          <w:sz w:val="32"/>
        </w:rPr>
        <w:t>资本规模维度：公司注册资本4亿元、实缴4亿元，在国内头孢类原料药企业中属于中等偏上规模。相比之下，行业内头部上市公司注册资本通常在10亿元以上。</w:t>
      </w:r>
    </w:p>
    <w:p>
      <w:pPr>
        <w:spacing w:lineRule="exact" w:line="600" w:before="0" w:after="0"/>
        <w:ind w:firstLine="420"/>
        <w:jc w:val="both"/>
      </w:pPr>
      <w:r>
        <w:rPr>
          <w:rFonts w:ascii="仿宋_GB2312" w:hAnsi="仿宋_GB2312" w:eastAsia="仿宋_GB2312"/>
          <w:b w:val="0"/>
          <w:color w:val="000000"/>
          <w:sz w:val="32"/>
        </w:rPr>
        <w:t>资质维度：公司同时拥有中国GMP、美国FDA、欧洲EDQM、韩国KFDA认证，认证完备度在国内原料药企业中处于较高水平，与出口导向型头部企业相当。</w:t>
      </w:r>
    </w:p>
    <w:p>
      <w:pPr>
        <w:spacing w:lineRule="exact" w:line="600" w:before="0" w:after="0"/>
        <w:ind w:firstLine="420"/>
        <w:jc w:val="both"/>
      </w:pPr>
      <w:r>
        <w:rPr>
          <w:rFonts w:ascii="仿宋_GB2312" w:hAnsi="仿宋_GB2312" w:eastAsia="仿宋_GB2312"/>
          <w:b w:val="0"/>
          <w:color w:val="000000"/>
          <w:sz w:val="32"/>
        </w:rPr>
        <w:t>技术维度：公司拥有专利60条，注册申报药品文号100余个，研发品种200余个，专业技术人员占比40%以上。专利数量在同规模企业中属于中等水平，但品种覆盖度较高。</w:t>
      </w:r>
    </w:p>
    <w:p>
      <w:pPr>
        <w:spacing w:lineRule="exact" w:line="600" w:before="0" w:after="0"/>
        <w:ind w:firstLine="420"/>
        <w:jc w:val="both"/>
      </w:pPr>
      <w:r>
        <w:rPr>
          <w:rFonts w:ascii="仿宋_GB2312" w:hAnsi="仿宋_GB2312" w:eastAsia="仿宋_GB2312"/>
          <w:b w:val="0"/>
          <w:color w:val="000000"/>
          <w:sz w:val="32"/>
        </w:rPr>
        <w:t>规模维度：员工规模930至1500人区间，被评定为大型企业，在菏泽本地属于头部制造业企业，在全国原料药行业中属于中型规模。</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有限责任公司（自然人投资或控股），设董事会与监事，未设股东大会（有限责任公司层面为股东会）。根据工商登记的主要人员信息，公司现有主要人员4名：尚中栋任董事长兼总经理、彭继先任董事、高博任董事、庞庆文任监事。</w:t>
      </w:r>
    </w:p>
    <w:p>
      <w:pPr>
        <w:spacing w:lineRule="exact" w:line="600" w:before="0" w:after="0"/>
        <w:ind w:firstLine="420"/>
        <w:jc w:val="both"/>
      </w:pPr>
      <w:r>
        <w:rPr>
          <w:rFonts w:ascii="仿宋_GB2312" w:hAnsi="仿宋_GB2312" w:eastAsia="仿宋_GB2312"/>
          <w:b w:val="0"/>
          <w:color w:val="000000"/>
          <w:sz w:val="32"/>
        </w:rPr>
        <w:t>治理特征上，公司股权集中于一家法人股东（山东和源制药有限公司，52.5%）和两名自然人股东（彭继先37.25%、尚中栋10.25%）。虽然法人股东为第一大股东，但穿透后彭继先综合持股约43.88%，被认定为疑似实际控制人和受益所有人，说明控制权实质上掌握在自然人手中。</w:t>
      </w:r>
    </w:p>
    <w:p>
      <w:pPr>
        <w:spacing w:lineRule="exact" w:line="600" w:before="0" w:after="0"/>
        <w:ind w:firstLine="420"/>
        <w:jc w:val="both"/>
      </w:pPr>
      <w:r>
        <w:rPr>
          <w:rFonts w:ascii="仿宋_GB2312" w:hAnsi="仿宋_GB2312" w:eastAsia="仿宋_GB2312"/>
          <w:b w:val="0"/>
          <w:color w:val="000000"/>
          <w:sz w:val="32"/>
        </w:rPr>
        <w:t>值得注意的是，持股比例最高的控股股东山东和源制药有限公司未在主要人员中直接体现代表，而持股10.25%的尚中栋担任法定代表人、董事长兼总经理，这种"持股与经营适度分离"的安排在民营企业中较为常见，通常反映出创始团队与资本方之间的分工协作。</w:t>
      </w:r>
    </w:p>
    <w:p>
      <w:pPr>
        <w:spacing w:lineRule="exact" w:line="600" w:before="0" w:after="0"/>
        <w:ind w:firstLine="420"/>
        <w:jc w:val="both"/>
      </w:pPr>
      <w:r>
        <w:rPr>
          <w:rFonts w:ascii="仿宋_GB2312" w:hAnsi="仿宋_GB2312" w:eastAsia="仿宋_GB2312"/>
          <w:b w:val="0"/>
          <w:color w:val="000000"/>
          <w:sz w:val="32"/>
        </w:rPr>
        <w:t>作为非上市有限责任公司，公司不设独立董事、审计委员会等上市公司标配的治理机构，外部监督主要来源于监管部门的行政检查、客户审计（尤其是FDA、EDQM等国际认证的定期复核）以及银行等债权人的尽职调查。国际认证的定期审计实际上对公司的质量管理体系和内控水平构成了较强的外部约束。</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尚中栋，公司法定代表人、董事长兼总经理，直接持股10.25%，关联企业24家。作为公司经营的第一责任人，全面负责公司战略制定与日常经营管理。</w:t>
      </w:r>
    </w:p>
    <w:p>
      <w:pPr>
        <w:spacing w:lineRule="exact" w:line="600" w:before="0" w:after="0"/>
        <w:ind w:firstLine="420"/>
        <w:jc w:val="both"/>
      </w:pPr>
      <w:r>
        <w:rPr>
          <w:rFonts w:ascii="仿宋_GB2312" w:hAnsi="仿宋_GB2312" w:eastAsia="仿宋_GB2312"/>
          <w:b w:val="0"/>
          <w:color w:val="000000"/>
          <w:sz w:val="32"/>
        </w:rPr>
        <w:t>彭继先，公司董事，直接持股37.25%，综合持股43.88%，被认定为疑似实际控制人和受益所有人，关联企业25家。作为最大自然人股东，在重大事项决策中具有关键影响力。</w:t>
      </w:r>
    </w:p>
    <w:p>
      <w:pPr>
        <w:spacing w:lineRule="exact" w:line="600" w:before="0" w:after="0"/>
        <w:ind w:firstLine="420"/>
        <w:jc w:val="both"/>
      </w:pPr>
      <w:r>
        <w:rPr>
          <w:rFonts w:ascii="仿宋_GB2312" w:hAnsi="仿宋_GB2312" w:eastAsia="仿宋_GB2312"/>
          <w:b w:val="0"/>
          <w:color w:val="000000"/>
          <w:sz w:val="32"/>
        </w:rPr>
        <w:t>高博，公司董事，关联企业9家。庞庆文，公司监事，关联企业11家。</w:t>
      </w:r>
    </w:p>
    <w:p>
      <w:pPr>
        <w:spacing w:lineRule="exact" w:line="600" w:before="0" w:after="0"/>
        <w:ind w:firstLine="420"/>
        <w:jc w:val="both"/>
      </w:pPr>
      <w:r>
        <w:rPr>
          <w:rFonts w:ascii="仿宋_GB2312" w:hAnsi="仿宋_GB2312" w:eastAsia="仿宋_GB2312"/>
          <w:b w:val="0"/>
          <w:color w:val="000000"/>
          <w:sz w:val="32"/>
        </w:rPr>
        <w:t>管理层特征上，核心成员均有较多关联企业，反映出管理团队在医药、化工产业链上有较广泛的产业布局和资源整合能力。这种网络化的产业关系在采购、销售、技术合作等方面可能带来协同便利，但同时也需要关注关联交易的公允性和资金往来的规范性。</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在质量管理方面建立了较为完备的体系。通过国家药监局GMP认证、美国FDA认证、欧洲EDQM认证、韩国KFDA认证和国际质量体系认证，说明公司的生产质量管理体系能够满足多个国家和地区监管机构的要求。国际认证需要定期接受现场检查，对公司的文件管理、批记录、变更控制、偏差处理、数据完整性等提出了持续性的高标准要求。</w:t>
      </w:r>
    </w:p>
    <w:p>
      <w:pPr>
        <w:spacing w:lineRule="exact" w:line="600" w:before="0" w:after="0"/>
        <w:ind w:firstLine="420"/>
        <w:jc w:val="both"/>
      </w:pPr>
      <w:r>
        <w:rPr>
          <w:rFonts w:ascii="仿宋_GB2312" w:hAnsi="仿宋_GB2312" w:eastAsia="仿宋_GB2312"/>
          <w:b w:val="0"/>
          <w:color w:val="000000"/>
          <w:sz w:val="32"/>
        </w:rPr>
        <w:t>EHS（环境、健康、安全）方面，公司通过了国家EHS认证，表明其在环境管理和职业健康安全方面建立了相应体系。但2025年前后发生的危险化学品经营许可证缺失事件（详见风险分析），暴露出公司在资质合规的动态管理上存在漏洞，即体系认证的存在并不等同于日常运行的完全合规。</w:t>
      </w:r>
    </w:p>
    <w:p>
      <w:pPr>
        <w:spacing w:lineRule="exact" w:line="600" w:before="0" w:after="0"/>
        <w:ind w:firstLine="420"/>
        <w:jc w:val="both"/>
      </w:pPr>
      <w:r>
        <w:rPr>
          <w:rFonts w:ascii="仿宋_GB2312" w:hAnsi="仿宋_GB2312" w:eastAsia="仿宋_GB2312"/>
          <w:b w:val="0"/>
          <w:color w:val="000000"/>
          <w:sz w:val="32"/>
        </w:rPr>
        <w:t>内控改进建议：一是建立资质台账的动态管理机制，对所有生产经营所需的许可证、批件设置到期预警和续期流程；二是强化危险化学品全生命周期管理，从采购、储存、使用到处置形成闭环；三是加强集团对18家对外投资企业和2家分公司的统一管控，防范子公司层面的合规风险向集团传导。</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规模方面，公司官网披露现有员工1500人；工商年报口径参保人数829人（2025年报），分支机构参保35人；企查查口径2023年工商年报社保人数930人。综合判断，公司单一法人主体用工规模在800至950人区间，集团整体（含关联企业）用工规模可达1500人左右。人员规模区间被天眼查标注为500至999人，企业规模被评定为大型。</w:t>
      </w:r>
    </w:p>
    <w:p>
      <w:pPr>
        <w:spacing w:lineRule="exact" w:line="600" w:before="0" w:after="0"/>
        <w:ind w:firstLine="420"/>
        <w:jc w:val="both"/>
      </w:pPr>
      <w:r>
        <w:rPr>
          <w:rFonts w:ascii="仿宋_GB2312" w:hAnsi="仿宋_GB2312" w:eastAsia="仿宋_GB2312"/>
          <w:b w:val="0"/>
          <w:color w:val="000000"/>
          <w:sz w:val="32"/>
        </w:rPr>
        <w:t>人才结构方面，据公司官网介绍，各类专业技术人员占员工总数40%以上，这一比例在制造业企业中属于较高水平，符合原料药行业技术密集的特征。公司称"企业技术水平达到前沿地位，95%的产品自行开发"，反映出公司对自主研发团队的重视。</w:t>
      </w:r>
    </w:p>
    <w:p>
      <w:pPr>
        <w:spacing w:lineRule="exact" w:line="600" w:before="0" w:after="0"/>
        <w:ind w:firstLine="420"/>
        <w:jc w:val="both"/>
      </w:pPr>
      <w:r>
        <w:rPr>
          <w:rFonts w:ascii="仿宋_GB2312" w:hAnsi="仿宋_GB2312" w:eastAsia="仿宋_GB2312"/>
          <w:b w:val="0"/>
          <w:color w:val="000000"/>
          <w:sz w:val="32"/>
        </w:rPr>
        <w:t>人才挑战方面，菏泽地处鲁西南，相较济南、青岛等中心城市在高端人才吸引力上存在客观差距。公司需要通过具有竞争力的薪酬、股权激励、与高校科研院所的联合培养等方式，稳定和吸引发酵工程、有机合成、药物分析、质量管理、注册事务等关键岗位人才。</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国际认证壁垒。公司同时通过中国GMP、美国FDA、欧洲EDQM、韩国KFDA及国际质量体系认证，这是原料药企业最核心的准入壁垒。取得并维持这些认证需要多年的体系建设、巨额的硬件投入和持续的合规成本，新进入者难以在短期内复制。这些认证直接决定了公司能否进入欧美日韩等高价值规范市场。</w:t>
      </w:r>
    </w:p>
    <w:p>
      <w:pPr>
        <w:spacing w:lineRule="exact" w:line="600" w:before="0" w:after="0"/>
        <w:ind w:firstLine="420"/>
        <w:jc w:val="both"/>
      </w:pPr>
      <w:r>
        <w:rPr>
          <w:rFonts w:ascii="仿宋_GB2312" w:hAnsi="仿宋_GB2312" w:eastAsia="仿宋_GB2312"/>
          <w:b w:val="0"/>
          <w:color w:val="000000"/>
          <w:sz w:val="32"/>
        </w:rPr>
        <w:t>第二，全产业链一体化能力。公司构建了生物发酵、化学合成、无菌制药等五大产品平台，形成从中间体到原料药再到无菌制剂的完整链条。一体化布局使公司能够在产业链不同环节捕捉利润、平抑单一环节的价格波动，并在质量追溯和交付保障上更具优势。</w:t>
      </w:r>
    </w:p>
    <w:p>
      <w:pPr>
        <w:spacing w:lineRule="exact" w:line="600" w:before="0" w:after="0"/>
        <w:ind w:firstLine="420"/>
        <w:jc w:val="both"/>
      </w:pPr>
      <w:r>
        <w:rPr>
          <w:rFonts w:ascii="仿宋_GB2312" w:hAnsi="仿宋_GB2312" w:eastAsia="仿宋_GB2312"/>
          <w:b w:val="0"/>
          <w:color w:val="000000"/>
          <w:sz w:val="32"/>
        </w:rPr>
        <w:t>第三，酶法工艺技术优势。公司经营范围明确包含氨基酸氧化酶、氨基酰化酶、GL-7-ACA酰化酶的生产，这些是酶法生产7-ACA的核心生物催化剂。掌握酶制剂自主生产能力，意味着公司在绿色工艺路线上具有技术自主性，在环保约束日益趋严的行业环境下形成明显的成本与合规优势。</w:t>
      </w:r>
    </w:p>
    <w:p>
      <w:pPr>
        <w:spacing w:lineRule="exact" w:line="600" w:before="0" w:after="0"/>
        <w:ind w:firstLine="420"/>
        <w:jc w:val="both"/>
      </w:pPr>
      <w:r>
        <w:rPr>
          <w:rFonts w:ascii="仿宋_GB2312" w:hAnsi="仿宋_GB2312" w:eastAsia="仿宋_GB2312"/>
          <w:b w:val="0"/>
          <w:color w:val="000000"/>
          <w:sz w:val="32"/>
        </w:rPr>
        <w:t>第四，品种覆盖广度。公司研发出200多个品种、注册申报100余个药品文号，头孢系列覆盖多代产品，青霉素系列覆盖主要半合成品种，并延伸至抗肿瘤冻干粉针。宽广的品种谱系使公司能够为下游客户提供一站式采购服务，提升客户黏性。</w:t>
      </w:r>
    </w:p>
    <w:p>
      <w:pPr>
        <w:spacing w:lineRule="exact" w:line="600" w:before="0" w:after="0"/>
        <w:ind w:firstLine="420"/>
        <w:jc w:val="both"/>
      </w:pPr>
      <w:r>
        <w:rPr>
          <w:rFonts w:ascii="仿宋_GB2312" w:hAnsi="仿宋_GB2312" w:eastAsia="仿宋_GB2312"/>
          <w:b w:val="0"/>
          <w:color w:val="000000"/>
          <w:sz w:val="32"/>
        </w:rPr>
        <w:t>第五，进出口自主能力。公司拥有独立的进出口企业代码和海关注册编码，可自主开展国际贸易，无需通过外贸代理，在出口报价、客户响应速度和利润留存方面具有优势。</w:t>
      </w:r>
    </w:p>
    <w:p>
      <w:pPr>
        <w:spacing w:lineRule="exact" w:line="600" w:before="0" w:after="0"/>
        <w:ind w:firstLine="420"/>
        <w:jc w:val="both"/>
      </w:pPr>
      <w:r>
        <w:rPr>
          <w:rFonts w:ascii="仿宋_GB2312" w:hAnsi="仿宋_GB2312" w:eastAsia="仿宋_GB2312"/>
          <w:b w:val="0"/>
          <w:color w:val="000000"/>
          <w:sz w:val="32"/>
        </w:rPr>
        <w:t>第六，资本实力与股东背景。公司注册资本4亿元全额实缴，控股股东山东和源制药有限公司具有化工产业背景，能够在原料供应、化学合成工艺等方面形成产业协同。</w:t>
      </w:r>
    </w:p>
    <w:p>
      <w:pPr>
        <w:spacing w:lineRule="exact" w:line="600" w:before="0" w:after="0"/>
        <w:ind w:firstLine="420"/>
        <w:jc w:val="both"/>
      </w:pPr>
      <w:r>
        <w:rPr>
          <w:rFonts w:ascii="仿宋_GB2312" w:hAnsi="仿宋_GB2312" w:eastAsia="仿宋_GB2312"/>
          <w:b w:val="0"/>
          <w:color w:val="000000"/>
          <w:sz w:val="32"/>
        </w:rPr>
        <w:t>第七，区域产业地位。作为菏泽本土医药龙头和中国医药工业百强企业，公司在地方政府支持、产业配套、要素保障等方面享有较为有利的外部环境，是菏泽高新区现代中药特色产业集群化学药环节的核心支撑。</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抗菌药物政策风险。国家对抗菌药物临床应用实行严格的分级管理制度，持续推进抗菌药物合理使用，限制了国内头孢类、青霉素类抗生素的用量增长空间。这是公司主导产品线面临的长期结构性压力。</w:t>
      </w:r>
    </w:p>
    <w:p>
      <w:pPr>
        <w:spacing w:lineRule="exact" w:line="600" w:before="0" w:after="0"/>
        <w:ind w:firstLine="420"/>
        <w:jc w:val="both"/>
      </w:pPr>
      <w:r>
        <w:rPr>
          <w:rFonts w:ascii="仿宋_GB2312" w:hAnsi="仿宋_GB2312" w:eastAsia="仿宋_GB2312"/>
          <w:b w:val="0"/>
          <w:color w:val="000000"/>
          <w:sz w:val="32"/>
        </w:rPr>
        <w:t>价格周期风险。原料药行业价格波动剧烈，头孢类中间体和原料药价格受产能投放、环保限产、下游需求等因素影响，历史上曾出现大幅波动。价格下行周期中，公司毛利率将受到直接冲击。</w:t>
      </w:r>
    </w:p>
    <w:p>
      <w:pPr>
        <w:spacing w:lineRule="exact" w:line="600" w:before="0" w:after="0"/>
        <w:ind w:firstLine="420"/>
        <w:jc w:val="both"/>
      </w:pPr>
      <w:r>
        <w:rPr>
          <w:rFonts w:ascii="仿宋_GB2312" w:hAnsi="仿宋_GB2312" w:eastAsia="仿宋_GB2312"/>
          <w:b w:val="0"/>
          <w:color w:val="000000"/>
          <w:sz w:val="32"/>
        </w:rPr>
        <w:t>环保与安全政策趋严风险。原料药生产属于高污染、高风险行业，"三废"处理成本高，安全生产监管严格。近年来国家和地方持续加大环保执法与安全生产检查力度，若排放标准提高或区域限产，将增加公司合规成本甚至影响正常生产。</w:t>
      </w:r>
    </w:p>
    <w:p>
      <w:pPr>
        <w:spacing w:lineRule="exact" w:line="600" w:before="0" w:after="0"/>
        <w:ind w:firstLine="420"/>
        <w:jc w:val="both"/>
      </w:pPr>
      <w:r>
        <w:rPr>
          <w:rFonts w:ascii="仿宋_GB2312" w:hAnsi="仿宋_GB2312" w:eastAsia="仿宋_GB2312"/>
          <w:b w:val="0"/>
          <w:color w:val="000000"/>
          <w:sz w:val="32"/>
        </w:rPr>
        <w:t>集采传导风险。随着化学药品集中带量采购常态化，制剂价格大幅下降，下游制剂企业必然向上游原料药供应商传导成本压力，压缩原料药环节的利润空间。</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产品结构集中风险。公司产品高度集中于β-内酰胺类抗生素（头孢类＋青霉素类），单一治疗领域的需求变化或竞争格局变动将对公司整体经营产生较大影响。抗肿瘤和大健康板块尚在培育期，短期内难以形成有效对冲。</w:t>
      </w:r>
    </w:p>
    <w:p>
      <w:pPr>
        <w:spacing w:lineRule="exact" w:line="600" w:before="0" w:after="0"/>
        <w:ind w:firstLine="420"/>
        <w:jc w:val="both"/>
      </w:pPr>
      <w:r>
        <w:rPr>
          <w:rFonts w:ascii="仿宋_GB2312" w:hAnsi="仿宋_GB2312" w:eastAsia="仿宋_GB2312"/>
          <w:b w:val="0"/>
          <w:color w:val="000000"/>
          <w:sz w:val="32"/>
        </w:rPr>
        <w:t>出口市场风险。公司产品出口美国等市场，面临国际贸易摩擦、汇率波动、目标国监管政策变化（如FDA现场检查未通过导致进口警示）等风险。原料药企业一旦被FDA列入进口警示名单，出口业务将遭受重创。</w:t>
      </w:r>
    </w:p>
    <w:p>
      <w:pPr>
        <w:spacing w:lineRule="exact" w:line="600" w:before="0" w:after="0"/>
        <w:ind w:firstLine="420"/>
        <w:jc w:val="both"/>
      </w:pPr>
      <w:r>
        <w:rPr>
          <w:rFonts w:ascii="仿宋_GB2312" w:hAnsi="仿宋_GB2312" w:eastAsia="仿宋_GB2312"/>
          <w:b w:val="0"/>
          <w:color w:val="000000"/>
          <w:sz w:val="32"/>
        </w:rPr>
        <w:t>原料价格波动风险。发酵原料（玉米、豆粕等农产品）和化工原料价格波动直接影响生产成本，而产品售价受市场行情约束，存在成本无法及时传导的风险。</w:t>
      </w:r>
    </w:p>
    <w:p>
      <w:pPr>
        <w:spacing w:lineRule="exact" w:line="600" w:before="0" w:after="0"/>
        <w:ind w:firstLine="420"/>
        <w:jc w:val="both"/>
      </w:pPr>
      <w:r>
        <w:rPr>
          <w:rFonts w:ascii="仿宋_GB2312" w:hAnsi="仿宋_GB2312" w:eastAsia="仿宋_GB2312"/>
          <w:b w:val="0"/>
          <w:color w:val="000000"/>
          <w:sz w:val="32"/>
        </w:rPr>
        <w:t>技术迭代风险。虽然公司在酶法工艺上有所积累，但生物合成技术、连续流化学等新工艺的发展可能改变行业成本结构，若公司未能及时跟进，现有工艺优势可能被削弱。</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信息不透明风险。作为非上市企业，公司财务数据未公开披露，外部机构难以准确评估其真实的盈利能力、偿债能力和现金流状况。这对债权人和潜在合作方构成了实质性的信息不对称风险，任何金融合作均需以完整的尽职调查和经审计财务报表为前提。</w:t>
      </w:r>
    </w:p>
    <w:p>
      <w:pPr>
        <w:spacing w:lineRule="exact" w:line="600" w:before="0" w:after="0"/>
        <w:ind w:firstLine="420"/>
        <w:jc w:val="both"/>
      </w:pPr>
      <w:r>
        <w:rPr>
          <w:rFonts w:ascii="仿宋_GB2312" w:hAnsi="仿宋_GB2312" w:eastAsia="仿宋_GB2312"/>
          <w:b w:val="0"/>
          <w:color w:val="000000"/>
          <w:sz w:val="32"/>
        </w:rPr>
        <w:t>重资产与资本开支压力。原料药生产需要持续的固定资产投入用于产能维护、环保升级和GMP符合性改造，资本开支具有刚性，在行业下行期可能形成较大的财务负担。</w:t>
      </w:r>
    </w:p>
    <w:p>
      <w:pPr>
        <w:spacing w:lineRule="exact" w:line="600" w:before="0" w:after="0"/>
        <w:ind w:firstLine="420"/>
        <w:jc w:val="both"/>
      </w:pPr>
      <w:r>
        <w:rPr>
          <w:rFonts w:ascii="仿宋_GB2312" w:hAnsi="仿宋_GB2312" w:eastAsia="仿宋_GB2312"/>
          <w:b w:val="0"/>
          <w:color w:val="000000"/>
          <w:sz w:val="32"/>
        </w:rPr>
        <w:t>对外投资风险。公司对外投资18家企业，若被投资企业经营不善，可能形成投资减值和资金占用。集团化架构下的资金往来和担保关系需要重点穿透核查。</w:t>
      </w:r>
    </w:p>
    <w:p>
      <w:pPr>
        <w:spacing w:lineRule="exact" w:line="600" w:before="0" w:after="0"/>
        <w:ind w:firstLine="420"/>
        <w:jc w:val="both"/>
      </w:pPr>
      <w:r>
        <w:rPr>
          <w:rFonts w:ascii="仿宋_GB2312" w:hAnsi="仿宋_GB2312" w:eastAsia="仿宋_GB2312"/>
          <w:b w:val="0"/>
          <w:color w:val="000000"/>
          <w:sz w:val="32"/>
        </w:rPr>
        <w:t>汇率风险。出口业务以外币结算，人民币汇率波动将直接影响出口业务的实际收益和外币应收账款的账面价值。</w:t>
      </w:r>
    </w:p>
    <w:p>
      <w:pPr>
        <w:spacing w:lineRule="exact" w:line="600" w:before="120" w:after="120"/>
        <w:ind w:firstLine="420"/>
        <w:jc w:val="left"/>
      </w:pPr>
      <w:r>
        <w:rPr>
          <w:rFonts w:ascii="楷体_GB2312" w:hAnsi="楷体_GB2312" w:eastAsia="楷体_GB2312"/>
          <w:b w:val="0"/>
          <w:color w:val="000000"/>
          <w:sz w:val="32"/>
        </w:rPr>
        <w:t>（四）合规风险</w:t>
      </w:r>
    </w:p>
    <w:p>
      <w:pPr>
        <w:spacing w:lineRule="exact" w:line="600" w:before="0" w:after="0"/>
        <w:ind w:firstLine="420"/>
        <w:jc w:val="both"/>
      </w:pPr>
      <w:r>
        <w:rPr>
          <w:rFonts w:ascii="仿宋_GB2312" w:hAnsi="仿宋_GB2312" w:eastAsia="仿宋_GB2312"/>
          <w:b w:val="0"/>
          <w:color w:val="000000"/>
          <w:sz w:val="32"/>
        </w:rPr>
        <w:t>这是公司当前最需要警惕的风险类别，且已有实质性事件发生。据山东省应急管理厅发布的行政处罚公示，山东睿鹰制药集团有限公司因未依法取得危险化学品经营许可证从事危险化学品经营，被菏泽市牡丹区应急管理局处以罚款10万元的行政处罚。处罚依据为《危险化学品安全管理条例》第七十七条第三款，并结合《山东省应急管理行政处罚自由裁量基准》（裁量细则）第54号第A档确定罚款金额。</w:t>
      </w:r>
    </w:p>
    <w:p>
      <w:pPr>
        <w:spacing w:lineRule="exact" w:line="600" w:before="0" w:after="0"/>
        <w:ind w:firstLine="420"/>
        <w:jc w:val="both"/>
      </w:pPr>
      <w:r>
        <w:rPr>
          <w:rFonts w:ascii="仿宋_GB2312" w:hAnsi="仿宋_GB2312" w:eastAsia="仿宋_GB2312"/>
          <w:b w:val="0"/>
          <w:color w:val="000000"/>
          <w:sz w:val="32"/>
        </w:rPr>
        <w:t>该事件虽然罚款金额不大（10万元，属于法定10万至20万元区间的下限），且属于A档从轻裁量，说明违法情节相对轻微，但其暴露的问题值得重视：一是公司在资质合规的动态管理上存在盲区，未能及时识别经营活动所需的全部许可；二是危险化学品具有易燃易爆、有毒有害特性，未取得许可擅自经营存在引发火灾、爆炸、中毒等安全事故的隐患，一旦发生重大事故，后果将远超罚款本身。</w:t>
      </w:r>
    </w:p>
    <w:p>
      <w:pPr>
        <w:spacing w:lineRule="exact" w:line="600" w:before="0" w:after="0"/>
        <w:ind w:firstLine="420"/>
        <w:jc w:val="both"/>
      </w:pPr>
      <w:r>
        <w:rPr>
          <w:rFonts w:ascii="仿宋_GB2312" w:hAnsi="仿宋_GB2312" w:eastAsia="仿宋_GB2312"/>
          <w:b w:val="0"/>
          <w:color w:val="000000"/>
          <w:sz w:val="32"/>
        </w:rPr>
        <w:t>药品GMP合规风险。公司多个生产线需持续满足GMP要求，并接受国内外监管机构的飞行检查。任何数据完整性问题、批记录不规范、偏差处理不当等均可能导致认证撤销、产品召回，对出口业务尤其致命。</w:t>
      </w:r>
    </w:p>
    <w:p>
      <w:pPr>
        <w:spacing w:lineRule="exact" w:line="600" w:before="0" w:after="0"/>
        <w:ind w:firstLine="420"/>
        <w:jc w:val="both"/>
      </w:pPr>
      <w:r>
        <w:rPr>
          <w:rFonts w:ascii="仿宋_GB2312" w:hAnsi="仿宋_GB2312" w:eastAsia="仿宋_GB2312"/>
          <w:b w:val="0"/>
          <w:color w:val="000000"/>
          <w:sz w:val="32"/>
        </w:rPr>
        <w:t>诉讼风险。据天眼查数据，公司存在裁判文书4条、开庭公告10条、立案信息3条。诉讼数量总体可控，但需关注涉诉事项的性质（如是否涉及产品质量、合同违约、知识产权侵权等）及潜在赔偿金额。</w:t>
      </w:r>
    </w:p>
    <w:p>
      <w:pPr>
        <w:spacing w:lineRule="exact" w:line="600" w:before="120" w:after="120"/>
        <w:ind w:firstLine="420"/>
        <w:jc w:val="left"/>
      </w:pPr>
      <w:r>
        <w:rPr>
          <w:rFonts w:ascii="楷体_GB2312" w:hAnsi="楷体_GB2312" w:eastAsia="楷体_GB2312"/>
          <w:b w:val="0"/>
          <w:color w:val="000000"/>
          <w:sz w:val="32"/>
        </w:rPr>
        <w:t>（五）管理风险</w:t>
      </w:r>
    </w:p>
    <w:p>
      <w:pPr>
        <w:spacing w:lineRule="exact" w:line="600" w:before="0" w:after="0"/>
        <w:ind w:firstLine="420"/>
        <w:jc w:val="both"/>
      </w:pPr>
      <w:r>
        <w:rPr>
          <w:rFonts w:ascii="仿宋_GB2312" w:hAnsi="仿宋_GB2312" w:eastAsia="仿宋_GB2312"/>
          <w:b w:val="0"/>
          <w:color w:val="000000"/>
          <w:sz w:val="32"/>
        </w:rPr>
        <w:t>实际控制人认定的模糊性。公开信息中，公司实际控制人被标注为"疑似实控人"彭继先，而第一大股东为持股52.5%的山东和源制药有限公司。控制权归属的表述不够清晰，可能反映出股东之间存在一致行动安排或代持等复杂结构，需在尽职调查中重点核实。</w:t>
      </w:r>
    </w:p>
    <w:p>
      <w:pPr>
        <w:spacing w:lineRule="exact" w:line="600" w:before="0" w:after="0"/>
        <w:ind w:firstLine="420"/>
        <w:jc w:val="both"/>
      </w:pPr>
      <w:r>
        <w:rPr>
          <w:rFonts w:ascii="仿宋_GB2312" w:hAnsi="仿宋_GB2312" w:eastAsia="仿宋_GB2312"/>
          <w:b w:val="0"/>
          <w:color w:val="000000"/>
          <w:sz w:val="32"/>
        </w:rPr>
        <w:t>集团管控风险。公司下辖2家分公司、对外投资18家企业、关联企业达24家，管控半径较大。分公司位于鄄城县，与牡丹区总部存在物理距离，对统一的质量、安全、财务管控提出挑战。</w:t>
      </w:r>
    </w:p>
    <w:p>
      <w:pPr>
        <w:spacing w:lineRule="exact" w:line="600" w:before="0" w:after="0"/>
        <w:ind w:firstLine="420"/>
        <w:jc w:val="both"/>
      </w:pPr>
      <w:r>
        <w:rPr>
          <w:rFonts w:ascii="仿宋_GB2312" w:hAnsi="仿宋_GB2312" w:eastAsia="仿宋_GB2312"/>
          <w:b w:val="0"/>
          <w:color w:val="000000"/>
          <w:sz w:val="32"/>
        </w:rPr>
        <w:t>关键人依赖风险。公司核心管理层规模较小（工商登记主要人员仅4人），且尚中栋一人身兼董事长与总经理，决策效率高但制衡不足，同时存在关键人依赖风险。</w:t>
      </w:r>
    </w:p>
    <w:p>
      <w:pPr>
        <w:spacing w:lineRule="exact" w:line="600" w:before="0" w:after="0"/>
        <w:ind w:firstLine="420"/>
        <w:jc w:val="both"/>
      </w:pPr>
      <w:r>
        <w:rPr>
          <w:rFonts w:ascii="仿宋_GB2312" w:hAnsi="仿宋_GB2312" w:eastAsia="仿宋_GB2312"/>
          <w:b w:val="0"/>
          <w:color w:val="000000"/>
          <w:sz w:val="32"/>
        </w:rPr>
        <w:t>接班与传承风险。作为成立于2010年的民营企业，公司正逐步进入创始团队的代际交替准备期，管理层的稳定性与传承安排值得关注。</w:t>
      </w:r>
    </w:p>
    <w:p>
      <w:pPr>
        <w:spacing w:lineRule="exact" w:line="600" w:before="120" w:after="120"/>
        <w:ind w:firstLine="420"/>
        <w:jc w:val="left"/>
      </w:pPr>
      <w:r>
        <w:rPr>
          <w:rFonts w:ascii="黑体" w:hAnsi="黑体" w:eastAsia="黑体"/>
          <w:b w:val="0"/>
          <w:color w:val="000000"/>
          <w:sz w:val="32"/>
        </w:rPr>
        <w:t>七、融资需求分析（与山东投资协同）</w:t>
      </w:r>
    </w:p>
    <w:p>
      <w:pPr>
        <w:spacing w:lineRule="exact" w:line="600" w:before="0" w:after="0"/>
        <w:ind w:firstLine="420"/>
        <w:jc w:val="both"/>
      </w:pPr>
      <w:r>
        <w:rPr>
          <w:rFonts w:ascii="仿宋_GB2312" w:hAnsi="仿宋_GB2312" w:eastAsia="仿宋_GB2312"/>
          <w:b w:val="0"/>
          <w:color w:val="000000"/>
          <w:sz w:val="32"/>
        </w:rPr>
        <w:t>结合公司的重资产属性、出口业务特征和产业链地位，山东省投资相关金融业务可从以下四个方向切入。</w:t>
      </w:r>
    </w:p>
    <w:p>
      <w:pPr>
        <w:spacing w:lineRule="exact" w:line="600" w:before="120" w:after="120"/>
        <w:ind w:firstLine="420"/>
        <w:jc w:val="left"/>
      </w:pPr>
      <w:r>
        <w:rPr>
          <w:rFonts w:ascii="楷体_GB2312" w:hAnsi="楷体_GB2312" w:eastAsia="楷体_GB2312"/>
          <w:b w:val="0"/>
          <w:color w:val="000000"/>
          <w:sz w:val="32"/>
        </w:rPr>
        <w:t>（一）保理业务</w:t>
      </w:r>
    </w:p>
    <w:p>
      <w:pPr>
        <w:spacing w:lineRule="exact" w:line="600" w:before="0" w:after="0"/>
        <w:ind w:firstLine="420"/>
        <w:jc w:val="both"/>
      </w:pPr>
      <w:r>
        <w:rPr>
          <w:rFonts w:ascii="仿宋_GB2312" w:hAnsi="仿宋_GB2312" w:eastAsia="仿宋_GB2312"/>
          <w:b w:val="0"/>
          <w:color w:val="000000"/>
          <w:sz w:val="32"/>
        </w:rPr>
        <w:t>业务基础：公司作为原料药供应商，向下游制剂企业销售通常给予60至120天账期，形成应收账款沉淀。同时公司出口业务采用信用证或托收方式结算，也存在应收账款融资需求。</w:t>
      </w:r>
    </w:p>
    <w:p>
      <w:pPr>
        <w:spacing w:lineRule="exact" w:line="600" w:before="0" w:after="0"/>
        <w:ind w:firstLine="420"/>
        <w:jc w:val="both"/>
      </w:pPr>
      <w:r>
        <w:rPr>
          <w:rFonts w:ascii="仿宋_GB2312" w:hAnsi="仿宋_GB2312" w:eastAsia="仿宋_GB2312"/>
          <w:b w:val="0"/>
          <w:color w:val="000000"/>
          <w:sz w:val="32"/>
        </w:rPr>
        <w:t>切入方案：一是针对国内优质制剂企业客户的应收账款开展保理业务；二是针对出口业务开展出口保理或福费廷业务，帮助公司提前回笼外汇资金、锁定汇率、规避海外买方信用风险。考虑到公司客户多为通过其严格审计的制剂企业，底层资产质量总体可靠。</w:t>
      </w:r>
    </w:p>
    <w:p>
      <w:pPr>
        <w:spacing w:lineRule="exact" w:line="600" w:before="0" w:after="0"/>
        <w:ind w:firstLine="420"/>
        <w:jc w:val="both"/>
      </w:pPr>
      <w:r>
        <w:rPr>
          <w:rFonts w:ascii="仿宋_GB2312" w:hAnsi="仿宋_GB2312" w:eastAsia="仿宋_GB2312"/>
          <w:b w:val="0"/>
          <w:color w:val="000000"/>
          <w:sz w:val="32"/>
        </w:rPr>
        <w:t>风控要点：必须核验贸易背景真实性，取得购销合同、发票、发货凭证、验收单据等完整单证；对出口保理业务，需评估进口国国别风险和买方信用等级；建议初期采取有追索权保理，控制风险敞口。</w:t>
      </w:r>
    </w:p>
    <w:p>
      <w:pPr>
        <w:spacing w:lineRule="exact" w:line="600" w:before="120" w:after="120"/>
        <w:ind w:firstLine="420"/>
        <w:jc w:val="left"/>
      </w:pPr>
      <w:r>
        <w:rPr>
          <w:rFonts w:ascii="楷体_GB2312" w:hAnsi="楷体_GB2312" w:eastAsia="楷体_GB2312"/>
          <w:b w:val="0"/>
          <w:color w:val="000000"/>
          <w:sz w:val="32"/>
        </w:rPr>
        <w:t>（二）供应链金融</w:t>
      </w:r>
    </w:p>
    <w:p>
      <w:pPr>
        <w:spacing w:lineRule="exact" w:line="600" w:before="0" w:after="0"/>
        <w:ind w:firstLine="420"/>
        <w:jc w:val="both"/>
      </w:pPr>
      <w:r>
        <w:rPr>
          <w:rFonts w:ascii="仿宋_GB2312" w:hAnsi="仿宋_GB2312" w:eastAsia="仿宋_GB2312"/>
          <w:b w:val="0"/>
          <w:color w:val="000000"/>
          <w:sz w:val="32"/>
        </w:rPr>
        <w:t>业务基础：公司位于产业链中游，上游连接发酵原料（农产品类）和化工原料供应商，下游连接制剂生产企业。上游供应商中包含较多中小型贸易商和农产品加工企业，融资需求旺盛。</w:t>
      </w:r>
    </w:p>
    <w:p>
      <w:pPr>
        <w:spacing w:lineRule="exact" w:line="600" w:before="0" w:after="0"/>
        <w:ind w:firstLine="420"/>
        <w:jc w:val="both"/>
      </w:pPr>
      <w:r>
        <w:rPr>
          <w:rFonts w:ascii="仿宋_GB2312" w:hAnsi="仿宋_GB2312" w:eastAsia="仿宋_GB2312"/>
          <w:b w:val="0"/>
          <w:color w:val="000000"/>
          <w:sz w:val="32"/>
        </w:rPr>
        <w:t>切入方案：以睿鹰制药的付款承诺为信用基础，为其上游供应商提供反向保理和订单融资服务，帮助供应商提前回款，同时帮助睿鹰制药延长账期、优化营运资金。对于下游中小客户，可提供预付款融资，支持其扩大采购规模。</w:t>
      </w:r>
    </w:p>
    <w:p>
      <w:pPr>
        <w:spacing w:lineRule="exact" w:line="600" w:before="0" w:after="0"/>
        <w:ind w:firstLine="420"/>
        <w:jc w:val="both"/>
      </w:pPr>
      <w:r>
        <w:rPr>
          <w:rFonts w:ascii="仿宋_GB2312" w:hAnsi="仿宋_GB2312" w:eastAsia="仿宋_GB2312"/>
          <w:b w:val="0"/>
          <w:color w:val="000000"/>
          <w:sz w:val="32"/>
        </w:rPr>
        <w:t>增值价值：该模式将金融服务嵌入公司的采购与销售场景，既服务了产业链上的中小微企业，又深度绑定了核心企业关系，为后续开展更多业务奠定基础。同时，通过掌握公司的采购和销售数据流，可以更准确地判断其经营状况，弥补财务信息不透明的缺陷。</w:t>
      </w:r>
    </w:p>
    <w:p>
      <w:pPr>
        <w:spacing w:lineRule="exact" w:line="600" w:before="120" w:after="120"/>
        <w:ind w:firstLine="420"/>
        <w:jc w:val="left"/>
      </w:pPr>
      <w:r>
        <w:rPr>
          <w:rFonts w:ascii="楷体_GB2312" w:hAnsi="楷体_GB2312" w:eastAsia="楷体_GB2312"/>
          <w:b w:val="0"/>
          <w:color w:val="000000"/>
          <w:sz w:val="32"/>
        </w:rPr>
        <w:t>（三）融资租赁</w:t>
      </w:r>
    </w:p>
    <w:p>
      <w:pPr>
        <w:spacing w:lineRule="exact" w:line="600" w:before="0" w:after="0"/>
        <w:ind w:firstLine="420"/>
        <w:jc w:val="both"/>
      </w:pPr>
      <w:r>
        <w:rPr>
          <w:rFonts w:ascii="仿宋_GB2312" w:hAnsi="仿宋_GB2312" w:eastAsia="仿宋_GB2312"/>
          <w:b w:val="0"/>
          <w:color w:val="000000"/>
          <w:sz w:val="32"/>
        </w:rPr>
        <w:t>业务基础：这是与公司业务特征匹配度最高的业务类型。原料药生产属于典型的重资产行业，发酵罐、反应釜、离心机、干燥设备、冻干机、无菌灌装线、环保处理设施（污水处理、废气治理）、检测仪器（HPLC、GC-MS等）均属于价值高、通用性较好、易于估值和处置的设备资产。</w:t>
      </w:r>
    </w:p>
    <w:p>
      <w:pPr>
        <w:spacing w:lineRule="exact" w:line="600" w:before="0" w:after="0"/>
        <w:ind w:firstLine="420"/>
        <w:jc w:val="both"/>
      </w:pPr>
      <w:r>
        <w:rPr>
          <w:rFonts w:ascii="仿宋_GB2312" w:hAnsi="仿宋_GB2312" w:eastAsia="仿宋_GB2312"/>
          <w:b w:val="0"/>
          <w:color w:val="000000"/>
          <w:sz w:val="32"/>
        </w:rPr>
        <w:t>切入方案：一是设备直租，支持公司新建产能、技改扩能和环保设施升级，缓解一次性资本开支压力；二是售后回租，以公司现有的优质生产设备为标的盘活存量资产，为其研发投入、大健康板块培育或补充流动资金提供长期资金支持。鉴于公司在鄄城设有两家分公司且分公司成立时间较新（2018年、2022年），存在明确的产能建设资金需求。</w:t>
      </w:r>
    </w:p>
    <w:p>
      <w:pPr>
        <w:spacing w:lineRule="exact" w:line="600" w:before="0" w:after="0"/>
        <w:ind w:firstLine="420"/>
        <w:jc w:val="both"/>
      </w:pPr>
      <w:r>
        <w:rPr>
          <w:rFonts w:ascii="仿宋_GB2312" w:hAnsi="仿宋_GB2312" w:eastAsia="仿宋_GB2312"/>
          <w:b w:val="0"/>
          <w:color w:val="000000"/>
          <w:sz w:val="32"/>
        </w:rPr>
        <w:t>风控要点：一是对设备进行专业评估，确保租赁物价值充足、权属清晰、无重复抵押；二是关注设备的专用性程度，优先选择通用性较强的设备；三是可要求实际控制人及关联企业提供连带责任保证担保；四是设置生产经营异常、重大行政处罚等触发提前回收的条款。</w:t>
      </w:r>
    </w:p>
    <w:p>
      <w:pPr>
        <w:spacing w:lineRule="exact" w:line="600" w:before="120" w:after="120"/>
        <w:ind w:firstLine="420"/>
        <w:jc w:val="left"/>
      </w:pPr>
      <w:r>
        <w:rPr>
          <w:rFonts w:ascii="楷体_GB2312" w:hAnsi="楷体_GB2312" w:eastAsia="楷体_GB2312"/>
          <w:b w:val="0"/>
          <w:color w:val="000000"/>
          <w:sz w:val="32"/>
        </w:rPr>
        <w:t>（四）小额贷款</w:t>
      </w:r>
    </w:p>
    <w:p>
      <w:pPr>
        <w:spacing w:lineRule="exact" w:line="600" w:before="0" w:after="0"/>
        <w:ind w:firstLine="420"/>
        <w:jc w:val="both"/>
      </w:pPr>
      <w:r>
        <w:rPr>
          <w:rFonts w:ascii="仿宋_GB2312" w:hAnsi="仿宋_GB2312" w:eastAsia="仿宋_GB2312"/>
          <w:b w:val="0"/>
          <w:color w:val="000000"/>
          <w:sz w:val="32"/>
        </w:rPr>
        <w:t>业务基础：公司所在产业链上下游存在大量小微主体，包括原料贸易商、包装材料供应商、物流承运商、设备维保服务商等，以及公司大健康产品未来可能发展的经销商群体。</w:t>
      </w:r>
    </w:p>
    <w:p>
      <w:pPr>
        <w:spacing w:lineRule="exact" w:line="600" w:before="0" w:after="0"/>
        <w:ind w:firstLine="420"/>
        <w:jc w:val="both"/>
      </w:pPr>
      <w:r>
        <w:rPr>
          <w:rFonts w:ascii="仿宋_GB2312" w:hAnsi="仿宋_GB2312" w:eastAsia="仿宋_GB2312"/>
          <w:b w:val="0"/>
          <w:color w:val="000000"/>
          <w:sz w:val="32"/>
        </w:rPr>
        <w:t>切入方案：基于公司的采购付款记录和销售回款记录，为其配套的小微供应商和服务商提供额度在数十万元至数百万元的信用类或订单质押类小额贷款，产品设计强调"短期、小额、随借随还"。</w:t>
      </w:r>
    </w:p>
    <w:p>
      <w:pPr>
        <w:spacing w:lineRule="exact" w:line="600" w:before="0" w:after="0"/>
        <w:ind w:firstLine="420"/>
        <w:jc w:val="both"/>
      </w:pPr>
      <w:r>
        <w:rPr>
          <w:rFonts w:ascii="仿宋_GB2312" w:hAnsi="仿宋_GB2312" w:eastAsia="仿宋_GB2312"/>
          <w:b w:val="0"/>
          <w:color w:val="000000"/>
          <w:sz w:val="32"/>
        </w:rPr>
        <w:t>风控建议：以核心企业交易数据作为主要授信依据，实行回款封闭管理；对与公司存在稳定交易历史（如连续12个月以上）的主体给予更高额度和更优利率，形成正向激励。</w:t>
      </w:r>
    </w:p>
    <w:p>
      <w:pPr>
        <w:spacing w:lineRule="exact" w:line="600" w:before="120" w:after="120"/>
        <w:ind w:firstLine="420"/>
        <w:jc w:val="left"/>
      </w:pPr>
      <w:r>
        <w:rPr>
          <w:rFonts w:ascii="楷体_GB2312" w:hAnsi="楷体_GB2312" w:eastAsia="楷体_GB2312"/>
          <w:b w:val="0"/>
          <w:color w:val="000000"/>
          <w:sz w:val="32"/>
        </w:rPr>
        <w:t>（五）综合授信建议</w:t>
      </w:r>
    </w:p>
    <w:p>
      <w:pPr>
        <w:spacing w:lineRule="exact" w:line="600" w:before="0" w:after="0"/>
        <w:ind w:firstLine="420"/>
        <w:jc w:val="both"/>
      </w:pPr>
      <w:r>
        <w:rPr>
          <w:rFonts w:ascii="仿宋_GB2312" w:hAnsi="仿宋_GB2312" w:eastAsia="仿宋_GB2312"/>
          <w:b w:val="0"/>
          <w:color w:val="000000"/>
          <w:sz w:val="32"/>
        </w:rPr>
        <w:t>总体判断：公司资质完备、技术积累扎实、资本实缴充分、区域地位突出，具备开展金融合作的良好基础。但财务数据不透明、存在安全生产合规瑕疵、产品线集中于抗生素领域，是必须审慎评估的三项制约因素。</w:t>
      </w:r>
    </w:p>
    <w:p>
      <w:pPr>
        <w:spacing w:lineRule="exact" w:line="600" w:before="0" w:after="0"/>
        <w:ind w:firstLine="420"/>
        <w:jc w:val="both"/>
      </w:pPr>
      <w:r>
        <w:rPr>
          <w:rFonts w:ascii="仿宋_GB2312" w:hAnsi="仿宋_GB2312" w:eastAsia="仿宋_GB2312"/>
          <w:b w:val="0"/>
          <w:color w:val="000000"/>
          <w:sz w:val="32"/>
        </w:rPr>
        <w:t>建议采取的策略是"以物权和真实贸易背景为抓手，审慎开展中长期业务"。具体而言：优先开展融资租赁（有物权保障）和保理（有真实贸易背景和确定回款来源）两类业务；供应链金融业务可作为深化合作、批量获客的重要抓手；纯信用类的中长期贷款应保持谨慎，除非能够获取经审计的完整财务报表并完成实地尽职调查。</w:t>
      </w:r>
    </w:p>
    <w:p>
      <w:pPr>
        <w:spacing w:lineRule="exact" w:line="600" w:before="0" w:after="0"/>
        <w:ind w:firstLine="420"/>
        <w:jc w:val="both"/>
      </w:pPr>
      <w:r>
        <w:rPr>
          <w:rFonts w:ascii="仿宋_GB2312" w:hAnsi="仿宋_GB2312" w:eastAsia="仿宋_GB2312"/>
          <w:b w:val="0"/>
          <w:color w:val="000000"/>
          <w:sz w:val="32"/>
        </w:rPr>
        <w:t>合作前置条件建议：一是要求公司提供近三年经审计的财务报表和最新的资产负债表、利润表、现金流量表；二是实地核查生产经营状况、设备运行情况和安全环保合规情况；三是核实全部许可证的有效性，特别是危险化学品相关资质的整改落实情况；四是穿透核查实际控制人认定、关联交易和对外担保情况。</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山东睿鹰制药集团有限公司是菏泽本土医药产业的龙头企业之一，也是国内头孢类原料药与医药中间体领域的知名生产商。公司成立于2010年，历经十余年发展，已构建起生物发酵、化学合成、无菌制药五大产品平台，形成从中间体到原料药再到制剂的完整产业链，研发品种200余个、注册申报药品文号100余个，并同时取得中国GMP、美国FDA、欧洲EDQM、韩国KFDA等国际权威认证，产品成功进入美国等规范市场。</w:t>
      </w:r>
    </w:p>
    <w:p>
      <w:pPr>
        <w:spacing w:lineRule="exact" w:line="600" w:before="0" w:after="0"/>
        <w:ind w:firstLine="420"/>
        <w:jc w:val="both"/>
      </w:pPr>
      <w:r>
        <w:rPr>
          <w:rFonts w:ascii="仿宋_GB2312" w:hAnsi="仿宋_GB2312" w:eastAsia="仿宋_GB2312"/>
          <w:b w:val="0"/>
          <w:color w:val="000000"/>
          <w:sz w:val="32"/>
        </w:rPr>
        <w:t>公司注册资本4亿元且全额实缴，股东出资到位，股权结构相对清晰（法人股东山东和源制药52.5%、彭继先37.25%、尚中栋10.25%），控股股东具有化工产业背景，能够形成产业协同。公司曾入选中国医药工业百强企业，获评国家级高新技术企业，在菏泽地区具有重要的产业支撑地位。</w:t>
      </w:r>
    </w:p>
    <w:p>
      <w:pPr>
        <w:spacing w:lineRule="exact" w:line="600" w:before="0" w:after="0"/>
        <w:ind w:firstLine="420"/>
        <w:jc w:val="both"/>
      </w:pPr>
      <w:r>
        <w:rPr>
          <w:rFonts w:ascii="仿宋_GB2312" w:hAnsi="仿宋_GB2312" w:eastAsia="仿宋_GB2312"/>
          <w:b w:val="0"/>
          <w:color w:val="000000"/>
          <w:sz w:val="32"/>
        </w:rPr>
        <w:t>需要客观指出的不足包括：一是财务数据完全不公开，外部难以评估其真实经营质量；二是2025年前后因未依法取得危险化学品经营许可证从事危险化学品经营，被菏泽市牡丹区应急管理局处以10万元罚款，暴露出合规管理的动态盲区；三是产品线高度集中于β-内酰胺类抗生素，面临抗菌药物管理政策和集采传导的双重压力；四是实际控制人认定存在模糊表述，股权架构需进一步穿透核实。</w:t>
      </w:r>
    </w:p>
    <w:p>
      <w:pPr>
        <w:spacing w:lineRule="exact" w:line="600" w:before="0" w:after="0"/>
        <w:ind w:firstLine="420"/>
        <w:jc w:val="both"/>
      </w:pPr>
      <w:r>
        <w:rPr>
          <w:rFonts w:ascii="仿宋_GB2312" w:hAnsi="仿宋_GB2312" w:eastAsia="仿宋_GB2312"/>
          <w:b w:val="0"/>
          <w:color w:val="000000"/>
          <w:sz w:val="32"/>
        </w:rPr>
        <w:t>综合评定，公司属于"技术资质扎实、区域地位突出、资本实力较强，但信息透明度低、存在合规瑕疵、行业面临政策约束"的中型民营制造企业。从金融合作角度看，具备开展有物权保障和真实贸易背景业务的良好基础，但需要通过实地尽调补足信息不对称。</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据公司官方网站披露的战略方向及行业趋势判断，公司未来发展可能围绕以下方向展开。</w:t>
      </w:r>
    </w:p>
    <w:p>
      <w:pPr>
        <w:spacing w:lineRule="exact" w:line="600" w:before="0" w:after="0"/>
        <w:ind w:firstLine="420"/>
        <w:jc w:val="both"/>
      </w:pPr>
      <w:r>
        <w:rPr>
          <w:rFonts w:ascii="仿宋_GB2312" w:hAnsi="仿宋_GB2312" w:eastAsia="仿宋_GB2312"/>
          <w:b w:val="0"/>
          <w:color w:val="000000"/>
          <w:sz w:val="32"/>
        </w:rPr>
        <w:t>一是深化高端市场出口。公司已具备FDA、EDQM、KFDA等国际认证，未来可进一步提升规范市场出口占比，通过高毛利的出口业务对冲国内市场的价格压力。这需要公司持续维护认证有效性并通过定期的国外监管机构现场检查。</w:t>
      </w:r>
    </w:p>
    <w:p>
      <w:pPr>
        <w:spacing w:lineRule="exact" w:line="600" w:before="0" w:after="0"/>
        <w:ind w:firstLine="420"/>
        <w:jc w:val="both"/>
      </w:pPr>
      <w:r>
        <w:rPr>
          <w:rFonts w:ascii="仿宋_GB2312" w:hAnsi="仿宋_GB2312" w:eastAsia="仿宋_GB2312"/>
          <w:b w:val="0"/>
          <w:color w:val="000000"/>
          <w:sz w:val="32"/>
        </w:rPr>
        <w:t>二是向制剂端延伸。公司已具备冻干粉针剂（抗肿瘤药）和粉针剂（青霉素类）的生产许可，原料药企业向制剂延伸（原料药制剂一体化）是行业公认的价值提升路径，尤其在化学药集采中，具备原料药自供能力的制剂企业具有显著的成本优势。</w:t>
      </w:r>
    </w:p>
    <w:p>
      <w:pPr>
        <w:spacing w:lineRule="exact" w:line="600" w:before="0" w:after="0"/>
        <w:ind w:firstLine="420"/>
        <w:jc w:val="both"/>
      </w:pPr>
      <w:r>
        <w:rPr>
          <w:rFonts w:ascii="仿宋_GB2312" w:hAnsi="仿宋_GB2312" w:eastAsia="仿宋_GB2312"/>
          <w:b w:val="0"/>
          <w:color w:val="000000"/>
          <w:sz w:val="32"/>
        </w:rPr>
        <w:t>三是培育大健康第二曲线。公司已推出卡丝妮娅兰幽、兰幽咀嚼片等大健康产品，并拥有食品、保健品、化妆品、医疗器械的生产销售资质。若能成功打造消费品牌，将有效降低对抗生素单一赛道的依赖。但需注意，B2C业务与B2B业务在渠道、营销、组织能力上差异巨大，转型难度不容低估。</w:t>
      </w:r>
    </w:p>
    <w:p>
      <w:pPr>
        <w:spacing w:lineRule="exact" w:line="600" w:before="0" w:after="0"/>
        <w:ind w:firstLine="420"/>
        <w:jc w:val="both"/>
      </w:pPr>
      <w:r>
        <w:rPr>
          <w:rFonts w:ascii="仿宋_GB2312" w:hAnsi="仿宋_GB2312" w:eastAsia="仿宋_GB2312"/>
          <w:b w:val="0"/>
          <w:color w:val="000000"/>
          <w:sz w:val="32"/>
        </w:rPr>
        <w:t>四是绿色工艺升级。依托自主的酶制剂生产能力，进一步推广酶法工艺替代化学法，降低"三废"排放和能耗，在环保约束趋严的背景下构筑成本与合规双重优势。</w:t>
      </w:r>
    </w:p>
    <w:p>
      <w:pPr>
        <w:spacing w:lineRule="exact" w:line="600" w:before="0" w:after="0"/>
        <w:ind w:firstLine="420"/>
        <w:jc w:val="both"/>
      </w:pPr>
      <w:r>
        <w:rPr>
          <w:rFonts w:ascii="仿宋_GB2312" w:hAnsi="仿宋_GB2312" w:eastAsia="仿宋_GB2312"/>
          <w:b w:val="0"/>
          <w:color w:val="000000"/>
          <w:sz w:val="32"/>
        </w:rPr>
        <w:t>五是深化本地产业协同。作为菏泽高新区现代中药特色产业集群的化学药环节骨干，公司可与集群内的步长制药、华信制药等中成药企业在公用工程、物流仓储、检测平台、人才培养等方面加强共享协同，共同提升集群整体竞争力。</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一是合规体系的系统性提升。10万元的行政处罚金额虽小，但反映的是资质动态管理机制的缺失。公司必须建立覆盖全部经营活动的许可证台账和预警机制，避免类似问题重演，尤其要杜绝危险化学品领域的合规风险，因为该领域一旦发生安全事故，后果将是灾难性的。</w:t>
      </w:r>
    </w:p>
    <w:p>
      <w:pPr>
        <w:spacing w:lineRule="exact" w:line="600" w:before="0" w:after="0"/>
        <w:ind w:firstLine="420"/>
        <w:jc w:val="both"/>
      </w:pPr>
      <w:r>
        <w:rPr>
          <w:rFonts w:ascii="仿宋_GB2312" w:hAnsi="仿宋_GB2312" w:eastAsia="仿宋_GB2312"/>
          <w:b w:val="0"/>
          <w:color w:val="000000"/>
          <w:sz w:val="32"/>
        </w:rPr>
        <w:t>二是行业政策压力的持续性。抗菌药物临床应用管理、集采常态化、环保标准提升是长期趋势，不会因单个企业的努力而改变，公司必须在成本控制和产品结构调整上作出实质性应对。</w:t>
      </w:r>
    </w:p>
    <w:p>
      <w:pPr>
        <w:spacing w:lineRule="exact" w:line="600" w:before="0" w:after="0"/>
        <w:ind w:firstLine="420"/>
        <w:jc w:val="both"/>
      </w:pPr>
      <w:r>
        <w:rPr>
          <w:rFonts w:ascii="仿宋_GB2312" w:hAnsi="仿宋_GB2312" w:eastAsia="仿宋_GB2312"/>
          <w:b w:val="0"/>
          <w:color w:val="000000"/>
          <w:sz w:val="32"/>
        </w:rPr>
        <w:t>三是信息透明度的提升。若公司未来有意寻求资本市场融资或与金融机构开展深度合作，必须提升财务信息的规范性和透明度，建立符合审计要求的财务核算体系。</w:t>
      </w:r>
    </w:p>
    <w:p>
      <w:pPr>
        <w:spacing w:lineRule="exact" w:line="600" w:before="0" w:after="0"/>
        <w:ind w:firstLine="420"/>
        <w:jc w:val="both"/>
      </w:pPr>
      <w:r>
        <w:rPr>
          <w:rFonts w:ascii="仿宋_GB2312" w:hAnsi="仿宋_GB2312" w:eastAsia="仿宋_GB2312"/>
          <w:b w:val="0"/>
          <w:color w:val="000000"/>
          <w:sz w:val="32"/>
        </w:rPr>
        <w:t>四是人才引进的地域约束。菏泽在高端医药人才吸引力上相较济南、青岛存在客观差距，公司需要通过创新的人才机制加以弥补。</w:t>
      </w:r>
    </w:p>
    <w:p>
      <w:pPr>
        <w:spacing w:lineRule="exact" w:line="600" w:before="0" w:after="0"/>
        <w:ind w:firstLine="420"/>
        <w:jc w:val="both"/>
      </w:pPr>
      <w:r>
        <w:rPr>
          <w:rFonts w:ascii="仿宋_GB2312" w:hAnsi="仿宋_GB2312" w:eastAsia="仿宋_GB2312"/>
          <w:b w:val="0"/>
          <w:color w:val="000000"/>
          <w:sz w:val="32"/>
        </w:rPr>
        <w:t>五是大健康转型的能力建设。从B2B原料药向B2C消费品转型，涉及品牌建设、渠道搭建、营销组织等全新能力，是对公司组织能力的重大考验。</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山东睿鹰制药集团有限公司是一家资质完备、技术扎实、在头孢类原料药细分领域具有相当竞争力的菏泽本土医药龙头企业，是菏泽高新区现代中药特色产业集群不可或缺的化学药支撑力量。公司资本实缴充分、国际认证齐全、产品出口规范市场，基本面总体健康；但财务不透明、合规存在瑕疵、产品线集中是三项需要正视的短板。</w:t>
      </w:r>
    </w:p>
    <w:p>
      <w:pPr>
        <w:spacing w:lineRule="exact" w:line="600" w:before="0" w:after="0"/>
        <w:ind w:firstLine="420"/>
        <w:jc w:val="both"/>
      </w:pPr>
      <w:r>
        <w:rPr>
          <w:rFonts w:ascii="仿宋_GB2312" w:hAnsi="仿宋_GB2312" w:eastAsia="仿宋_GB2312"/>
          <w:b w:val="0"/>
          <w:color w:val="000000"/>
          <w:sz w:val="32"/>
        </w:rPr>
        <w:t>对企业的建议：第一，立即完善危险化学品等各类资质的合规管理，建立许可证动态台账与到期预警机制，将本次行政处罚转化为体系改进的契机；第二，加快向制剂端延伸，充分发挥原料药制剂一体化优势，提升产业链价值捕获能力；第三，稳步推进大健康业务，但需控制投入节奏，避免主业资源被过度分流；第四，规范财务核算体系，提升信息透明度，为未来的资本运作或深度金融合作创造条件；第五，加强与集群内其他企业的协同，共享公用工程与检测资源，降低单位运营成本。</w:t>
      </w:r>
    </w:p>
    <w:p>
      <w:pPr>
        <w:spacing w:lineRule="exact" w:line="600" w:before="0" w:after="0"/>
        <w:ind w:firstLine="420"/>
        <w:jc w:val="both"/>
      </w:pPr>
      <w:r>
        <w:rPr>
          <w:rFonts w:ascii="仿宋_GB2312" w:hAnsi="仿宋_GB2312" w:eastAsia="仿宋_GB2312"/>
          <w:b w:val="0"/>
          <w:color w:val="000000"/>
          <w:sz w:val="32"/>
        </w:rPr>
        <w:t>对金融合作方的建议：将公司定位为"有潜力但需深度尽调的中型制造业客户"。业务切入优先顺序建议为：融资租赁（物权保障最强）＞保理（贸易背景可核验）＞供应链金融（批量获客、数据增信）＞信用贷款（需完整财务尽调后审慎介入）。合作前必须完成三项核心工作：获取经审计的近三年财务报表、实地核查生产经营与安全合规状况、穿透核实实际控制人与关联担保情况。同时应持续跟踪其行政处罚整改进展、国际认证维持状况和抗生素行业价格走势。</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1. 天眼查企业信息公示（山东睿鹰制药集团有限公司，统一社会信用代码91371700552233224G），含工商登记、经营范围、股东出资、分支机构、知识产权、司法风险等信息。</w:t>
        <w:br/>
        <w:t>2. 启信宝（qixin.com）企业信息，含股东持股比例、主要人员、变更记录、分支机构、疑似实控人认定等信息。</w:t>
        <w:br/>
        <w:t>3. 山东睿鹰制药集团官方网站 www.ruiying.cn（公司简介、产品目录、认证资质、员工规模、研发能力）。</w:t>
        <w:br/>
        <w:t>4. 山东省应急管理厅行政处罚公示；《菏泽一知名药企被罚10万元》，网易新闻（山海新闻）报道，含公司股权结构、认证资质、产业布局等信息。</w:t>
        <w:br/>
        <w:t>5. 菏泽高新技术产业开发区管理委员会官方网站关于区内重点企业的公开介绍。</w:t>
        <w:br/>
        <w:t>6. 《危险化学品安全管理条例》《山东省应急管理行政处罚自由裁量基准》相关条款。</w:t>
        <w:br/>
        <w:t>特别说明：山东睿鹰制药集团有限公司为非上市有限责任公司，其营业收入、净利润、资产负债、现金流等财务数据未公开披露。本报告严格遵循数据真实性原则，未对上述财务指标作任何估算或推测，相关章节仅作定性分析并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