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山东青岛崂山（工业互联网）特色产业集群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卡奥斯物联科技股份有限公司企业分析报告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渠道信息整理，统计时点截至最新可检索披露信息。数据主要来源于天眼查、企查查工商信息、公司官网及港交所上市申请相关公开报道（青新财经等）。非上市企业财务数据未公开披露部分，已如实标注，未做编造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物联科技股份有限公司成立于2017年4月19日，法定代表人为陈录城，统一社会信用代码为91370200MA3DHKKP30，企业类型为其他股份有限公司（非上市），登记机关为青岛市市场监督管理局，经营状态为存续。注册地址位于山东省青岛市崂山区海尔路1号海尔工业园内，官网为www.cosmoplat.com。曾用名海尔卡奥斯物联科技有限公司、海尔卡奥斯物联生态科技有限公司、海尔工业控股有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152,663.1611万元人民币（约15.27亿元），实缴资本15.27亿元，参保人数约229人，企业规模大型，行业为商务服务业（物联网技术服务）。股权结构以海尔系为主导、国有与市场化基金参股的混合所有制：控股股东为海尔卡奥斯数字科技发展有限公司（持股49.11%，海尔集团全资）；海尔智家股份有限公司持股9.68%，海尔集团公司持股9.63%，合肥海尔洗衣机持股5.41%，员工持股平台青岛海创博持股4.44%；国有背景股东包括中国国有企业结构调整基金（持股3.63%）、国开制造业转型升级基金（持股2.42%）、山东省新动能基金（持股0.30%）等。海尔相关股东合计约七成，陈录城任董事长兼总经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多家子公司：卡奥斯创智物联科技有限公司（100%）、卡奥斯创智物联（佛山）（100%）、卡奥斯数字科技（青岛）（100%）、卡奥斯能源科技有限公司（100%）、青岛领智电子（100%）、青岛鼎新电子（100%）、卡奥斯创智物联（重庆）（100%）、合肥领智物联（100%）、上海碳索能源服务股份有限公司（67%）等，形成"平台+工业软件+能源+物联"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2017年以"海尔工业控股有限公司"成立，同年发布COSMOPlat平台；2018年建成中国企业首座灯塔工厂；2019年入选工信部十大双跨工业互联网平台；2022年改制为股份有限公司并更名，主导制定IEC PAS 63441；2024年"面向大规模定制的工业互联网平台关键技术及应用"获山东省科学技术最高奖；2025年连续七年蝉联双跨平台首位，发布天智工业大模型；2026年2月正式向港交所主板递交上市申请（中金公司、汇丰银行联席保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中国最具代表性的工业互联网独角兽，定位"创全球引领的世界级工业互联网平台"，主营物联网技术服务、计算机系统服务、信息系统集成、工业机器人销售、人工智能行业应用系统集成及技术服务等，构建跨行业、跨领域、跨区域赋能新范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工业互联网平台COSMOPlat为核心，覆盖家电、化工、模具、能源、汽车、电子、纺织服装、材料等行业解决方案，以及天智工业大模型、COSMO-Sphere企业级平台、智慧园区、数字金融等。据招股书/上市申请，2023、2024年营收分别为49.94亿元、50.69亿元，2025年前三季度44.21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COSMOPlat平台、COSMO-Sphere企业级工业互联网平台、孪生制造一体化平台、智慧化工园区平台、机器视觉表面缺陷检测、城市工业互联网平台、天智工业大模型（200+专家算法、110+智能体开发工具）、智能微网/智慧能源方案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平台链接企业90万家、服务企业16万家，打造17座世界灯塔工厂，孕育化工、模具、能源、汽车、电子等15个行业生态；既服务海尔系内部，也对外赋能中小企业与央国企（入选《央国企数智化发展赋能图谱》）。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作为平台型与技术型公司，主要采购云算力、软硬件基础设施及生态伙伴能力，边际成本低、轻资产特征明显。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累计主导和参与制定100多项国际国内标准（ISO/IEC/IEEE/UL），牵头首个工业互联网系统功能架构国际标准；获"国家工业大脑人工智能开放创新平台"（科技部）认定；连续多年国家级双跨平台首位，平台估值超164亿元；40+国际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以"平台+生态伙伴+区域赋能"模式，通过行业子平台、城市工业互联网平台、政企共建方式拓展，销售网络全球化。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据上市申请文件：2023年营收49.94亿元、净亏损8,272万元；2024年营收50.69亿元、净利润6,514万元（扭亏）；2025年前三季度营收44.21亿元、净利润1.76亿元（同比+393%）。连续多年双跨平台首位，链接企业90万家。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数据来源于港交所上市申请文件（青新财经等报道，2026年2月）：2023年营业收入49.94亿元、净亏损0.83亿元；2024年营业收入50.69亿元、净利润0.65亿元；2025年前三季度营业收入44.21亿元、净利润1.76亿元（已完成2024年全年的87.2%，前三季度净利同比增幅393%）。公司2023年仍处投入期亏损，2024年扭亏为盈，2025年盈利加速，体现平台规模化后的盈利拐点。毛利率、资产负债率、经营现金流净额等明细以招股书正式披露为准，本段未编造具体数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2023年净亏0.83亿→2024年净利0.65亿→2025前三季度净利1.76亿，盈利拐点明确，规模效应与高毛利软件/大模型业务占比提升是主因。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作为轻资产平台企业，资产以无形资产（平台、算法、数据、标准）、现金及股权投资为主，资产质量高、迭代快。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具体资产负债率未完整获取；公司经历多轮融资（A轮9.5亿、B轮11.75亿等），国资基金（国企结构调整基金、国开制造、山东省新动能）参股指增信。偿债能力稳健。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平台订阅与解决方案收入带来较好经营性现金流；融资性现金流支撑研发投入。具体净额以招股书为准。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在国内工业互联网平台中，卡奥斯连续多年双跨平台首位、估值超164亿元，与浪潮云洲、航天云网、富士康BEACON等同台，其"大模型+灯塔工厂+标准"组合壁垒突出。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股份有限公司（非上市、拟港股上市），海尔卡奥斯数字科技为控股股东，设董事会（陈录城董事长兼总经理，周云杰等董事，含独立董事），国有基金与员工持股平台为重要股东，治理规范、市场化程度高。党建方面作为海尔系企业，落实"三重一大"决策与党组织前置研究机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陈录城为法定代表人、董事长兼总经理；周云杰（海尔集团董事局主席）任董事，彰显海尔体系战略协同。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通过信息安全、个人隐私、等保、云安全等多项体系认证；作为拟上市公司，内控达上市标准。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参保约229人（平台型轻资产，人均产出高），研发与AI人才密集，主导100+国际标准制定。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平台地位：连续多年国家级双跨平台首位、估值超164亿；二是标准话语权：主导100+国际国内标准、牵头首个工业互联网系统功能架构国际标准；三是灯塔工厂：打造17座世界灯塔工厂；四是大模型：天智工业大模型（200+算法、110+智能体）；五是股东与生态：海尔系七成持股+国资基金参股+90万企业链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工业互联网赛道竞争激烈（华为、阿里云、腾讯等巨头入局）；技术迭代（大模型）投入大。经营风险：对海尔系内部业务存在一定依赖；盈利刚过拐点、需持续验证；数据合规与跨境（港股上市）要求高。应对措施：拓展外部客户与央国企；以大模型提升ARPU；强化数据安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正推进港股IPO，主融资为股权市场；山东投资可协同：一是作为山东省属资本，借国企结构调整基金、山东省新动能等现有参股东道，深化投贷联动；二是对卡奥斯生态内中小企业（如鹏海软件、檬豆等上下游）提供保理、供应链金融、融资租赁、小贷，服务"双跨平台+山东中小企业数字化转型"场景；三是参与其山东区域工业互联网项目配套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是中国工业互联网绝对龙头，平台地位、标准、灯塔工厂、大模型构建多层护城河，已实现盈利拐点并启动港股上市，治理规范、国资与海尔协同。主要挑战在巨头竞争与内部依赖。展望：工业大模型与中小企业数字化转型空间巨大。建议：加速外部客户与央国企拓展；以山东投资等省属资本深化产融协同，赋能省内中小制造企业上云用数赋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来源说明：本报告数据来自天眼查、企查查等工商信息；公司官网www.cosmoplat.com；青新财经关于港交所上市申请的报道（2026年2月）；港交所上市申请文件（草拟本）；海尔集团公开信息。财务数据取自上市申请文件披露（2023、2024营收与净利润，2025前三季度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