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t>山东青岛胶州区(智能家电电子)特色产业集群</w:t>
      </w:r>
    </w:p>
    <w:p>
      <w:pPr>
        <w:spacing w:lineRule="exact" w:line="600" w:before="240" w:after="240"/>
        <w:ind w:firstLine="0"/>
        <w:jc w:val="center"/>
      </w:pPr>
      <w:r>
        <w:rPr>
          <w:rFonts w:ascii="方正小标宋简体" w:hAnsi="方正小标宋简体" w:eastAsia="方正小标宋简体"/>
          <w:b w:val="0"/>
          <w:color w:val="000000"/>
          <w:sz w:val="44"/>
        </w:rPr>
        <w:t>海尔卡奥斯生态园（海尔胶州）企业分析报告</w:t>
      </w:r>
    </w:p>
    <w:p>
      <w:pPr>
        <w:spacing w:lineRule="exact" w:line="600" w:before="0" w:after="0"/>
        <w:jc w:val="left"/>
      </w:pPr>
      <w:r>
        <w:rPr>
          <w:rFonts w:ascii="仿宋_GB2312" w:hAnsi="仿宋_GB2312" w:eastAsia="仿宋_GB2312"/>
          <w:b w:val="0"/>
          <w:color w:val="000000"/>
          <w:sz w:val="28"/>
        </w:rPr>
        <w:t>（注：批次所列"海尔卡奥斯生态园（海尔胶州）"指海尔集团在青岛胶州上合示范区投资建设的"海尔卡奥斯工业互联网生态园"项目，运营主体为海尔集团公司及其下属上市/非上市主体（含海尔智家等）。本报告以批次名称为标题，正文据实说明项目与运营主体。数据来源于海尔官网、胶州市政府网、新华网、青岛日报等公开渠道，统计时点截至2024—2025年最新披露信息。项目层面财务未单独披露，已如实标注。）</w:t>
      </w:r>
    </w:p>
    <w:p>
      <w:pPr>
        <w:spacing w:lineRule="exact" w:line="600" w:before="120" w:after="120"/>
        <w:ind w:firstLine="420"/>
        <w:jc w:val="left"/>
      </w:pPr>
      <w:r>
        <w:rPr>
          <w:rFonts w:ascii="黑体" w:hAnsi="黑体" w:eastAsia="黑体"/>
          <w:b w:val="0"/>
          <w:color w:val="000000"/>
          <w:sz w:val="32"/>
        </w:rPr>
        <w:t>一、公司基本概况</w:t>
      </w:r>
    </w:p>
    <w:p>
      <w:pPr>
        <w:spacing w:lineRule="exact" w:line="600" w:before="120" w:after="120"/>
        <w:ind w:firstLine="420"/>
        <w:jc w:val="left"/>
      </w:pPr>
      <w:r>
        <w:rPr>
          <w:rFonts w:ascii="楷体_GB2312" w:hAnsi="楷体_GB2312" w:eastAsia="楷体_GB2312"/>
          <w:b w:val="0"/>
          <w:color w:val="000000"/>
          <w:sz w:val="32"/>
        </w:rPr>
        <w:t>（一）项目与运营主体</w:t>
      </w:r>
    </w:p>
    <w:p>
      <w:pPr>
        <w:spacing w:lineRule="exact" w:line="600" w:before="0" w:after="0"/>
        <w:ind w:firstLine="420"/>
        <w:jc w:val="both"/>
      </w:pPr>
      <w:r>
        <w:rPr>
          <w:rFonts w:ascii="仿宋_GB2312" w:hAnsi="仿宋_GB2312" w:eastAsia="仿宋_GB2312"/>
          <w:b w:val="0"/>
          <w:color w:val="000000"/>
          <w:sz w:val="32"/>
        </w:rPr>
        <w:t>海尔卡奥斯工业互联网生态园是海尔集团自创立以来在全球投资规模最大、智能化程度最高、产业链配套最完整、生态体系最健全的项目。项目于2022年由海尔集团投资130亿元落子青岛胶州市九龙街道上合示范区，依托海尔卡奥斯工业互联网平台（COSMOPlat），以高端智能家电产业为基础、数字经济为引擎，建设5G、AIoT融合应用的全产业链、全场景、全生态国家级工业互联网示范园区。</w:t>
      </w:r>
    </w:p>
    <w:p>
      <w:pPr>
        <w:spacing w:lineRule="exact" w:line="600" w:before="0" w:after="0"/>
        <w:ind w:firstLine="420"/>
        <w:jc w:val="both"/>
      </w:pPr>
      <w:r>
        <w:rPr>
          <w:rFonts w:ascii="仿宋_GB2312" w:hAnsi="仿宋_GB2312" w:eastAsia="仿宋_GB2312"/>
          <w:b w:val="0"/>
          <w:color w:val="000000"/>
          <w:sz w:val="32"/>
        </w:rPr>
        <w:t>运营主体为海尔集团公司（实际控制人为海尔集团职工持股会/海尔智家等上市主体）。海尔集团为大型民营企业集团，旗下海尔智家（600690.SH/690D）为上海证券交易所及法兰克福交易所上市公司。生态园由海尔集团统筹建设运营，是胶州智能家电产业链的链主项目。</w:t>
      </w:r>
    </w:p>
    <w:tbl>
      <w:tblPr>
        <w:tblStyle w:val="TableGrid"/>
        <w:tblW w:type="auto" w:w="0"/>
        <w:jc w:val="center"/>
        <w:tblLook w:firstColumn="1" w:firstRow="1" w:lastColumn="0" w:lastRow="0" w:noHBand="0" w:noVBand="1" w:val="04A0"/>
      </w:tblPr>
      <w:tblGrid>
        <w:gridCol w:w="4422"/>
        <w:gridCol w:w="4422"/>
      </w:tblGrid>
      <w:tr>
        <w:tc>
          <w:tcPr>
            <w:tcW w:type="dxa" w:w="2551"/>
          </w:tcPr>
          <w:p>
            <w:pPr>
              <w:spacing w:lineRule="exact" w:line="600"/>
              <w:jc w:val="center"/>
            </w:pPr>
            <w:r/>
            <w:r>
              <w:rPr>
                <w:rFonts w:ascii="黑体" w:hAnsi="黑体" w:eastAsia="黑体"/>
                <w:b/>
                <w:color w:val="000000"/>
                <w:sz w:val="32"/>
              </w:rPr>
              <w:t>项目</w:t>
            </w:r>
          </w:p>
        </w:tc>
        <w:tc>
          <w:tcPr>
            <w:tcW w:type="dxa" w:w="6803"/>
          </w:tcPr>
          <w:p>
            <w:pPr>
              <w:spacing w:lineRule="exact" w:line="600"/>
              <w:jc w:val="center"/>
            </w:pPr>
            <w:r/>
            <w:r>
              <w:rPr>
                <w:rFonts w:ascii="黑体" w:hAnsi="黑体" w:eastAsia="黑体"/>
                <w:b/>
                <w:color w:val="000000"/>
                <w:sz w:val="32"/>
              </w:rPr>
              <w:t>内容</w:t>
            </w:r>
          </w:p>
        </w:tc>
      </w:tr>
      <w:tr>
        <w:tc>
          <w:tcPr>
            <w:tcW w:type="dxa" w:w="2551"/>
          </w:tcPr>
          <w:p>
            <w:pPr>
              <w:spacing w:lineRule="exact" w:line="600"/>
              <w:jc w:val="center"/>
            </w:pPr>
            <w:r/>
            <w:r>
              <w:rPr>
                <w:rFonts w:ascii="仿宋_GB2312" w:hAnsi="仿宋_GB2312" w:eastAsia="仿宋_GB2312"/>
                <w:b w:val="0"/>
                <w:color w:val="000000"/>
                <w:sz w:val="32"/>
              </w:rPr>
              <w:t>项目名称</w:t>
            </w:r>
          </w:p>
        </w:tc>
        <w:tc>
          <w:tcPr>
            <w:tcW w:type="dxa" w:w="6803"/>
          </w:tcPr>
          <w:p>
            <w:pPr>
              <w:spacing w:lineRule="exact" w:line="600"/>
              <w:jc w:val="center"/>
            </w:pPr>
            <w:r/>
            <w:r>
              <w:rPr>
                <w:rFonts w:ascii="仿宋_GB2312" w:hAnsi="仿宋_GB2312" w:eastAsia="仿宋_GB2312"/>
                <w:b w:val="0"/>
                <w:color w:val="000000"/>
                <w:sz w:val="32"/>
              </w:rPr>
              <w:t>海尔卡奥斯工业互联网生态园</w:t>
            </w:r>
          </w:p>
        </w:tc>
      </w:tr>
      <w:tr>
        <w:tc>
          <w:tcPr>
            <w:tcW w:type="dxa" w:w="2551"/>
          </w:tcPr>
          <w:p>
            <w:pPr>
              <w:spacing w:lineRule="exact" w:line="600"/>
              <w:jc w:val="center"/>
            </w:pPr>
            <w:r/>
            <w:r>
              <w:rPr>
                <w:rFonts w:ascii="仿宋_GB2312" w:hAnsi="仿宋_GB2312" w:eastAsia="仿宋_GB2312"/>
                <w:b w:val="0"/>
                <w:color w:val="000000"/>
                <w:sz w:val="32"/>
              </w:rPr>
              <w:t>投资</w:t>
            </w:r>
          </w:p>
        </w:tc>
        <w:tc>
          <w:tcPr>
            <w:tcW w:type="dxa" w:w="6803"/>
          </w:tcPr>
          <w:p>
            <w:pPr>
              <w:spacing w:lineRule="exact" w:line="600"/>
              <w:jc w:val="center"/>
            </w:pPr>
            <w:r/>
            <w:r>
              <w:rPr>
                <w:rFonts w:ascii="仿宋_GB2312" w:hAnsi="仿宋_GB2312" w:eastAsia="仿宋_GB2312"/>
                <w:b w:val="0"/>
                <w:color w:val="000000"/>
                <w:sz w:val="32"/>
              </w:rPr>
              <w:t>130亿元（海尔集团）</w:t>
            </w:r>
          </w:p>
        </w:tc>
      </w:tr>
      <w:tr>
        <w:tc>
          <w:tcPr>
            <w:tcW w:type="dxa" w:w="2551"/>
          </w:tcPr>
          <w:p>
            <w:pPr>
              <w:spacing w:lineRule="exact" w:line="600"/>
              <w:jc w:val="center"/>
            </w:pPr>
            <w:r/>
            <w:r>
              <w:rPr>
                <w:rFonts w:ascii="仿宋_GB2312" w:hAnsi="仿宋_GB2312" w:eastAsia="仿宋_GB2312"/>
                <w:b w:val="0"/>
                <w:color w:val="000000"/>
                <w:sz w:val="32"/>
              </w:rPr>
              <w:t>选址</w:t>
            </w:r>
          </w:p>
        </w:tc>
        <w:tc>
          <w:tcPr>
            <w:tcW w:type="dxa" w:w="6803"/>
          </w:tcPr>
          <w:p>
            <w:pPr>
              <w:spacing w:lineRule="exact" w:line="600"/>
              <w:jc w:val="center"/>
            </w:pPr>
            <w:r/>
            <w:r>
              <w:rPr>
                <w:rFonts w:ascii="仿宋_GB2312" w:hAnsi="仿宋_GB2312" w:eastAsia="仿宋_GB2312"/>
                <w:b w:val="0"/>
                <w:color w:val="000000"/>
                <w:sz w:val="32"/>
              </w:rPr>
              <w:t>青岛胶州市九龙街道上合示范区</w:t>
            </w:r>
          </w:p>
        </w:tc>
      </w:tr>
      <w:tr>
        <w:tc>
          <w:tcPr>
            <w:tcW w:type="dxa" w:w="2551"/>
          </w:tcPr>
          <w:p>
            <w:pPr>
              <w:spacing w:lineRule="exact" w:line="600"/>
              <w:jc w:val="center"/>
            </w:pPr>
            <w:r/>
            <w:r>
              <w:rPr>
                <w:rFonts w:ascii="仿宋_GB2312" w:hAnsi="仿宋_GB2312" w:eastAsia="仿宋_GB2312"/>
                <w:b w:val="0"/>
                <w:color w:val="000000"/>
                <w:sz w:val="32"/>
              </w:rPr>
              <w:t>运营主体</w:t>
            </w:r>
          </w:p>
        </w:tc>
        <w:tc>
          <w:tcPr>
            <w:tcW w:type="dxa" w:w="6803"/>
          </w:tcPr>
          <w:p>
            <w:pPr>
              <w:spacing w:lineRule="exact" w:line="600"/>
              <w:jc w:val="center"/>
            </w:pPr>
            <w:r/>
            <w:r>
              <w:rPr>
                <w:rFonts w:ascii="仿宋_GB2312" w:hAnsi="仿宋_GB2312" w:eastAsia="仿宋_GB2312"/>
                <w:b w:val="0"/>
                <w:color w:val="000000"/>
                <w:sz w:val="32"/>
              </w:rPr>
              <w:t>海尔集团公司（链主）/海尔智家等</w:t>
            </w:r>
          </w:p>
        </w:tc>
      </w:tr>
      <w:tr>
        <w:tc>
          <w:tcPr>
            <w:tcW w:type="dxa" w:w="2551"/>
          </w:tcPr>
          <w:p>
            <w:pPr>
              <w:spacing w:lineRule="exact" w:line="600"/>
              <w:jc w:val="center"/>
            </w:pPr>
            <w:r/>
            <w:r>
              <w:rPr>
                <w:rFonts w:ascii="仿宋_GB2312" w:hAnsi="仿宋_GB2312" w:eastAsia="仿宋_GB2312"/>
                <w:b w:val="0"/>
                <w:color w:val="000000"/>
                <w:sz w:val="32"/>
              </w:rPr>
              <w:t>规划</w:t>
            </w:r>
          </w:p>
        </w:tc>
        <w:tc>
          <w:tcPr>
            <w:tcW w:type="dxa" w:w="6803"/>
          </w:tcPr>
          <w:p>
            <w:pPr>
              <w:spacing w:lineRule="exact" w:line="600"/>
              <w:jc w:val="center"/>
            </w:pPr>
            <w:r/>
            <w:r>
              <w:rPr>
                <w:rFonts w:ascii="仿宋_GB2312" w:hAnsi="仿宋_GB2312" w:eastAsia="仿宋_GB2312"/>
                <w:b w:val="0"/>
                <w:color w:val="000000"/>
                <w:sz w:val="32"/>
              </w:rPr>
              <w:t>冰箱、空调、洗涤等全产业链"十大工厂"</w:t>
            </w:r>
          </w:p>
        </w:tc>
      </w:tr>
      <w:tr>
        <w:tc>
          <w:tcPr>
            <w:tcW w:type="dxa" w:w="2551"/>
          </w:tcPr>
          <w:p>
            <w:pPr>
              <w:spacing w:lineRule="exact" w:line="600"/>
              <w:jc w:val="center"/>
            </w:pPr>
            <w:r/>
            <w:r>
              <w:rPr>
                <w:rFonts w:ascii="仿宋_GB2312" w:hAnsi="仿宋_GB2312" w:eastAsia="仿宋_GB2312"/>
                <w:b w:val="0"/>
                <w:color w:val="000000"/>
                <w:sz w:val="32"/>
              </w:rPr>
              <w:t>达产目标</w:t>
            </w:r>
          </w:p>
        </w:tc>
        <w:tc>
          <w:tcPr>
            <w:tcW w:type="dxa" w:w="6803"/>
          </w:tcPr>
          <w:p>
            <w:pPr>
              <w:spacing w:lineRule="exact" w:line="600"/>
              <w:jc w:val="center"/>
            </w:pPr>
            <w:r/>
            <w:r>
              <w:rPr>
                <w:rFonts w:ascii="仿宋_GB2312" w:hAnsi="仿宋_GB2312" w:eastAsia="仿宋_GB2312"/>
                <w:b w:val="0"/>
                <w:color w:val="000000"/>
                <w:sz w:val="32"/>
              </w:rPr>
              <w:t>年产值超400亿元、整机2600万台、就业1.8万人</w:t>
            </w:r>
          </w:p>
        </w:tc>
      </w:tr>
    </w:tbl>
    <w:p>
      <w:pPr>
        <w:spacing w:lineRule="exact" w:line="600" w:before="120" w:after="120"/>
        <w:ind w:firstLine="420"/>
        <w:jc w:val="left"/>
      </w:pPr>
      <w:r>
        <w:rPr>
          <w:rFonts w:ascii="楷体_GB2312" w:hAnsi="楷体_GB2312" w:eastAsia="楷体_GB2312"/>
          <w:b w:val="0"/>
          <w:color w:val="000000"/>
          <w:sz w:val="32"/>
        </w:rPr>
        <w:t>（二）组织架构</w:t>
      </w:r>
    </w:p>
    <w:p>
      <w:pPr>
        <w:spacing w:lineRule="exact" w:line="600" w:before="0" w:after="0"/>
        <w:ind w:firstLine="420"/>
        <w:jc w:val="both"/>
      </w:pPr>
      <w:r>
        <w:rPr>
          <w:rFonts w:ascii="仿宋_GB2312" w:hAnsi="仿宋_GB2312" w:eastAsia="仿宋_GB2312"/>
          <w:b w:val="0"/>
          <w:color w:val="000000"/>
          <w:sz w:val="32"/>
        </w:rPr>
        <w:t>园区由海尔集团统一规划，下设冰箱互联一厂/二厂、空调、洗涤（滚筒洗衣机、干衣机、洗碗机）等工厂，并通过卡奥斯COSMOPlat赋能上下游配套企业。海尔作为链主，既招商又引链，推动配套项目落地。</w:t>
      </w:r>
    </w:p>
    <w:p>
      <w:pPr>
        <w:spacing w:lineRule="exact" w:line="600" w:before="120" w:after="120"/>
        <w:ind w:firstLine="420"/>
        <w:jc w:val="left"/>
      </w:pPr>
      <w:r>
        <w:rPr>
          <w:rFonts w:ascii="楷体_GB2312" w:hAnsi="楷体_GB2312" w:eastAsia="楷体_GB2312"/>
          <w:b w:val="0"/>
          <w:color w:val="000000"/>
          <w:sz w:val="32"/>
        </w:rPr>
        <w:t>（三）发展沿革</w:t>
      </w:r>
    </w:p>
    <w:p>
      <w:pPr>
        <w:spacing w:lineRule="exact" w:line="600" w:before="0" w:after="0"/>
        <w:ind w:firstLine="420"/>
        <w:jc w:val="both"/>
      </w:pPr>
      <w:r>
        <w:rPr>
          <w:rFonts w:ascii="仿宋_GB2312" w:hAnsi="仿宋_GB2312" w:eastAsia="仿宋_GB2312"/>
          <w:b w:val="0"/>
          <w:color w:val="000000"/>
          <w:sz w:val="32"/>
        </w:rPr>
        <w:t>2022年海尔投资130亿元启动生态园；2023年12月冰箱智能制造一期投产；2024年7月冰箱二期投产（占地279亩、年产250万台、带动就业约2000人），同时空调、洗涤四大工厂同步开工；2024年园区冰箱一厂、二厂累计下线大冰箱116万台、实现产值22亿元；2025年园区预计产值超50亿元。</w:t>
      </w:r>
    </w:p>
    <w:p>
      <w:pPr>
        <w:spacing w:lineRule="exact" w:line="600" w:before="120" w:after="120"/>
        <w:ind w:firstLine="420"/>
        <w:jc w:val="left"/>
      </w:pPr>
      <w:r>
        <w:rPr>
          <w:rFonts w:ascii="楷体_GB2312" w:hAnsi="楷体_GB2312" w:eastAsia="楷体_GB2312"/>
          <w:b w:val="0"/>
          <w:color w:val="000000"/>
          <w:sz w:val="32"/>
        </w:rPr>
        <w:t>（四）企业定位与主营业务</w:t>
      </w:r>
    </w:p>
    <w:p>
      <w:pPr>
        <w:spacing w:lineRule="exact" w:line="600" w:before="0" w:after="0"/>
        <w:ind w:firstLine="420"/>
        <w:jc w:val="both"/>
      </w:pPr>
      <w:r>
        <w:rPr>
          <w:rFonts w:ascii="仿宋_GB2312" w:hAnsi="仿宋_GB2312" w:eastAsia="仿宋_GB2312"/>
          <w:b w:val="0"/>
          <w:color w:val="000000"/>
          <w:sz w:val="32"/>
        </w:rPr>
        <w:t>战略定位为全球领先的高端智能家电制造与工业互联网生态园区，是胶州"千亿级智能家电产业链"的核心引擎。主营业务为高端冰箱、空调、洗衣机、干衣机、洗碗机等智能家电整机制造，以及依托卡奥斯平台的工业互联网赋能、智慧物流、智慧能源等数字化服务。</w:t>
      </w:r>
    </w:p>
    <w:p>
      <w:pPr>
        <w:spacing w:lineRule="exact" w:line="600" w:before="120" w:after="120"/>
        <w:ind w:firstLine="420"/>
        <w:jc w:val="left"/>
      </w:pPr>
      <w:r>
        <w:rPr>
          <w:rFonts w:ascii="黑体" w:hAnsi="黑体" w:eastAsia="黑体"/>
          <w:b w:val="0"/>
          <w:color w:val="000000"/>
          <w:sz w:val="32"/>
        </w:rPr>
        <w:t>二、业务层面分析</w:t>
      </w:r>
    </w:p>
    <w:p>
      <w:pPr>
        <w:spacing w:lineRule="exact" w:line="600" w:before="120" w:after="120"/>
        <w:ind w:firstLine="420"/>
        <w:jc w:val="left"/>
      </w:pPr>
      <w:r>
        <w:rPr>
          <w:rFonts w:ascii="楷体_GB2312" w:hAnsi="楷体_GB2312" w:eastAsia="楷体_GB2312"/>
          <w:b w:val="0"/>
          <w:color w:val="000000"/>
          <w:sz w:val="32"/>
        </w:rPr>
        <w:t>（一）业务结构</w:t>
      </w:r>
    </w:p>
    <w:p>
      <w:pPr>
        <w:spacing w:lineRule="exact" w:line="600" w:before="0" w:after="0"/>
        <w:ind w:firstLine="420"/>
        <w:jc w:val="both"/>
      </w:pPr>
      <w:r>
        <w:rPr>
          <w:rFonts w:ascii="仿宋_GB2312" w:hAnsi="仿宋_GB2312" w:eastAsia="仿宋_GB2312"/>
          <w:b w:val="0"/>
          <w:color w:val="000000"/>
          <w:sz w:val="32"/>
        </w:rPr>
        <w:t>业务以智能家电整机制造（冰箱、空调、洗涤）为核心，叠加工业互联网平台赋能、核心零部件自制与智慧能源/物流服务，形成"制造+平台+生态"结构。</w:t>
      </w:r>
    </w:p>
    <w:p>
      <w:pPr>
        <w:spacing w:lineRule="exact" w:line="600" w:before="120" w:after="120"/>
        <w:ind w:firstLine="420"/>
        <w:jc w:val="left"/>
      </w:pPr>
      <w:r>
        <w:rPr>
          <w:rFonts w:ascii="楷体_GB2312" w:hAnsi="楷体_GB2312" w:eastAsia="楷体_GB2312"/>
          <w:b w:val="0"/>
          <w:color w:val="000000"/>
          <w:sz w:val="32"/>
        </w:rPr>
        <w:t>（二）主要产品/服务</w:t>
      </w:r>
    </w:p>
    <w:p>
      <w:pPr>
        <w:spacing w:lineRule="exact" w:line="600" w:before="0" w:after="0"/>
        <w:ind w:firstLine="420"/>
        <w:jc w:val="both"/>
      </w:pPr>
      <w:r>
        <w:rPr>
          <w:rFonts w:ascii="仿宋_GB2312" w:hAnsi="仿宋_GB2312" w:eastAsia="仿宋_GB2312"/>
          <w:b w:val="0"/>
          <w:color w:val="000000"/>
          <w:sz w:val="32"/>
        </w:rPr>
        <w:t>产品：高端大冰箱（全球定制，销往欧洲、中东非、东南亚）、空调（年产能1000万台）、滚筒洗衣机/干衣机/洗碗机（洗涤项目达产年产能1000万台）；服务：卡奥斯COSMOPlat工业互联网赋能、智慧物流、数字化制造中台。园区38项关键零部件全部自制、核心模块自制率100%。</w:t>
      </w:r>
    </w:p>
    <w:p>
      <w:pPr>
        <w:spacing w:lineRule="exact" w:line="600" w:before="120" w:after="120"/>
        <w:ind w:firstLine="420"/>
        <w:jc w:val="left"/>
      </w:pPr>
      <w:r>
        <w:rPr>
          <w:rFonts w:ascii="楷体_GB2312" w:hAnsi="楷体_GB2312" w:eastAsia="楷体_GB2312"/>
          <w:b w:val="0"/>
          <w:color w:val="000000"/>
          <w:sz w:val="32"/>
        </w:rPr>
        <w:t>（三）客户分析</w:t>
      </w:r>
    </w:p>
    <w:p>
      <w:pPr>
        <w:spacing w:lineRule="exact" w:line="600" w:before="0" w:after="0"/>
        <w:ind w:firstLine="420"/>
        <w:jc w:val="both"/>
      </w:pPr>
      <w:r>
        <w:rPr>
          <w:rFonts w:ascii="仿宋_GB2312" w:hAnsi="仿宋_GB2312" w:eastAsia="仿宋_GB2312"/>
          <w:b w:val="0"/>
          <w:color w:val="000000"/>
          <w:sz w:val="32"/>
        </w:rPr>
        <w:t>下游对接海尔全球销售网络与品牌客户，产品以出口（欧洲、中东非、东南亚、美洲、澳洲）与国内高端市场并重；作为链主带动上下游配套企业。</w:t>
      </w:r>
    </w:p>
    <w:p>
      <w:pPr>
        <w:spacing w:lineRule="exact" w:line="600" w:before="120" w:after="120"/>
        <w:ind w:firstLine="420"/>
        <w:jc w:val="left"/>
      </w:pPr>
      <w:r>
        <w:rPr>
          <w:rFonts w:ascii="楷体_GB2312" w:hAnsi="楷体_GB2312" w:eastAsia="楷体_GB2312"/>
          <w:b w:val="0"/>
          <w:color w:val="000000"/>
          <w:sz w:val="32"/>
        </w:rPr>
        <w:t>（四）供应商与采购</w:t>
      </w:r>
    </w:p>
    <w:p>
      <w:pPr>
        <w:spacing w:lineRule="exact" w:line="600" w:before="0" w:after="0"/>
        <w:ind w:firstLine="420"/>
        <w:jc w:val="both"/>
      </w:pPr>
      <w:r>
        <w:rPr>
          <w:rFonts w:ascii="仿宋_GB2312" w:hAnsi="仿宋_GB2312" w:eastAsia="仿宋_GB2312"/>
          <w:b w:val="0"/>
          <w:color w:val="000000"/>
          <w:sz w:val="32"/>
        </w:rPr>
        <w:t>园区核心模块自制率100%、38项关键零部件自制，配套产业园（占地2000亩）集聚山鹰国际、玖星科技、万朗磁塑等十余家上下游企业（总投资150亿元），本地配套完善。</w:t>
      </w:r>
    </w:p>
    <w:p>
      <w:pPr>
        <w:spacing w:lineRule="exact" w:line="600" w:before="120" w:after="120"/>
        <w:ind w:firstLine="420"/>
        <w:jc w:val="left"/>
      </w:pPr>
      <w:r>
        <w:rPr>
          <w:rFonts w:ascii="楷体_GB2312" w:hAnsi="楷体_GB2312" w:eastAsia="楷体_GB2312"/>
          <w:b w:val="0"/>
          <w:color w:val="000000"/>
          <w:sz w:val="32"/>
        </w:rPr>
        <w:t>（五）产能/资源/牌照</w:t>
      </w:r>
    </w:p>
    <w:p>
      <w:pPr>
        <w:spacing w:lineRule="exact" w:line="600" w:before="0" w:after="0"/>
        <w:ind w:firstLine="420"/>
        <w:jc w:val="both"/>
      </w:pPr>
      <w:r>
        <w:rPr>
          <w:rFonts w:ascii="仿宋_GB2312" w:hAnsi="仿宋_GB2312" w:eastAsia="仿宋_GB2312"/>
          <w:b w:val="0"/>
          <w:color w:val="000000"/>
          <w:sz w:val="32"/>
        </w:rPr>
        <w:t>规划总产能2600万台/年（全球家电园区最大），冰箱年产能420万台；配备数字化制造中台、智慧物流与智慧能源全流程智能管理；为国家级智能制造示范项目、灯塔工厂体系（海尔集团拥有8座灯塔工厂+1座可持续灯塔）。</w:t>
      </w:r>
    </w:p>
    <w:p>
      <w:pPr>
        <w:spacing w:lineRule="exact" w:line="600" w:before="120" w:after="120"/>
        <w:ind w:firstLine="420"/>
        <w:jc w:val="left"/>
      </w:pPr>
      <w:r>
        <w:rPr>
          <w:rFonts w:ascii="楷体_GB2312" w:hAnsi="楷体_GB2312" w:eastAsia="楷体_GB2312"/>
          <w:b w:val="0"/>
          <w:color w:val="000000"/>
          <w:sz w:val="32"/>
        </w:rPr>
        <w:t>（六）销售与渠道</w:t>
      </w:r>
    </w:p>
    <w:p>
      <w:pPr>
        <w:spacing w:lineRule="exact" w:line="600" w:before="0" w:after="0"/>
        <w:ind w:firstLine="420"/>
        <w:jc w:val="both"/>
      </w:pPr>
      <w:r>
        <w:rPr>
          <w:rFonts w:ascii="仿宋_GB2312" w:hAnsi="仿宋_GB2312" w:eastAsia="仿宋_GB2312"/>
          <w:b w:val="0"/>
          <w:color w:val="000000"/>
          <w:sz w:val="32"/>
        </w:rPr>
        <w:t>依托海尔全球品牌、渠道与卡奥斯平台，产品内外销并举；以"研产销"一体化示范基地辐射全球。</w:t>
      </w:r>
    </w:p>
    <w:p>
      <w:pPr>
        <w:spacing w:lineRule="exact" w:line="600" w:before="120" w:after="120"/>
        <w:ind w:firstLine="420"/>
        <w:jc w:val="left"/>
      </w:pPr>
      <w:r>
        <w:rPr>
          <w:rFonts w:ascii="楷体_GB2312" w:hAnsi="楷体_GB2312" w:eastAsia="楷体_GB2312"/>
          <w:b w:val="0"/>
          <w:color w:val="000000"/>
          <w:sz w:val="32"/>
        </w:rPr>
        <w:t>（七）经营数据与市场占有率</w:t>
      </w:r>
    </w:p>
    <w:p>
      <w:pPr>
        <w:spacing w:lineRule="exact" w:line="600" w:before="0" w:after="0"/>
        <w:ind w:firstLine="420"/>
        <w:jc w:val="both"/>
      </w:pPr>
      <w:r>
        <w:rPr>
          <w:rFonts w:ascii="仿宋_GB2312" w:hAnsi="仿宋_GB2312" w:eastAsia="仿宋_GB2312"/>
          <w:b w:val="0"/>
          <w:color w:val="000000"/>
          <w:sz w:val="32"/>
        </w:rPr>
        <w:t>公开披露：2024年冰箱一厂、二厂产值22亿元，2025年预计超50亿元；空调一期年产值55亿元、洗涤项目达产年产值150亿元；海尔集团2024年全球营收4016亿元（+8%）、全球利润总额302亿元（+13%），连续16年大型家电品牌零售量第一。生态园全部达产后年产值超400亿元。</w:t>
      </w:r>
    </w:p>
    <w:p>
      <w:pPr>
        <w:spacing w:lineRule="exact" w:line="600" w:before="120" w:after="120"/>
        <w:ind w:firstLine="420"/>
        <w:jc w:val="left"/>
      </w:pPr>
      <w:r>
        <w:rPr>
          <w:rFonts w:ascii="黑体" w:hAnsi="黑体" w:eastAsia="黑体"/>
          <w:b w:val="0"/>
          <w:color w:val="000000"/>
          <w:sz w:val="32"/>
        </w:rPr>
        <w:t>三、财务报表分析</w:t>
      </w:r>
    </w:p>
    <w:p>
      <w:pPr>
        <w:spacing w:lineRule="exact" w:line="600" w:before="120" w:after="120"/>
        <w:ind w:firstLine="420"/>
        <w:jc w:val="left"/>
      </w:pPr>
      <w:r>
        <w:rPr>
          <w:rFonts w:ascii="楷体_GB2312" w:hAnsi="楷体_GB2312" w:eastAsia="楷体_GB2312"/>
          <w:b w:val="0"/>
          <w:color w:val="000000"/>
          <w:sz w:val="32"/>
        </w:rPr>
        <w:t>（一）—（六）分析</w:t>
      </w:r>
    </w:p>
    <w:p>
      <w:pPr>
        <w:spacing w:lineRule="exact" w:line="600" w:before="0" w:after="0"/>
        <w:ind w:firstLine="420"/>
        <w:jc w:val="both"/>
      </w:pPr>
      <w:r>
        <w:rPr>
          <w:rFonts w:ascii="仿宋_GB2312" w:hAnsi="仿宋_GB2312" w:eastAsia="仿宋_GB2312"/>
          <w:b w:val="0"/>
          <w:color w:val="000000"/>
          <w:sz w:val="32"/>
        </w:rPr>
        <w:t>海尔卡奥斯生态园为海尔集团投资项目，项目层面未单独披露经审计财务报表。集团层面（海尔智家为上市主体）财务稳健：海尔集团2024年全球营收4016亿元、利润302亿元，均实现双位数增长。生态园作为重资产投资项目，前期资本开支大，但依托海尔集团雄厚实力与成熟制造体系，偿债与现金流风险可控。在胶州智能家电集群中，生态园是绝对链主，带动千亿级产业链。</w:t>
      </w:r>
    </w:p>
    <w:p>
      <w:pPr>
        <w:spacing w:lineRule="exact" w:line="600" w:before="120" w:after="120"/>
        <w:ind w:firstLine="420"/>
        <w:jc w:val="left"/>
      </w:pPr>
      <w:r>
        <w:rPr>
          <w:rFonts w:ascii="黑体" w:hAnsi="黑体" w:eastAsia="黑体"/>
          <w:b w:val="0"/>
          <w:color w:val="000000"/>
          <w:sz w:val="32"/>
        </w:rPr>
        <w:t>四、公司治理、管理与人力资源</w:t>
      </w:r>
    </w:p>
    <w:p>
      <w:pPr>
        <w:spacing w:lineRule="exact" w:line="600" w:before="120" w:after="120"/>
        <w:ind w:firstLine="420"/>
        <w:jc w:val="left"/>
      </w:pPr>
      <w:r>
        <w:rPr>
          <w:rFonts w:ascii="楷体_GB2312" w:hAnsi="楷体_GB2312" w:eastAsia="楷体_GB2312"/>
          <w:b w:val="0"/>
          <w:color w:val="000000"/>
          <w:sz w:val="32"/>
        </w:rPr>
        <w:t>（一）治理结构</w:t>
      </w:r>
    </w:p>
    <w:p>
      <w:pPr>
        <w:spacing w:lineRule="exact" w:line="600" w:before="0" w:after="0"/>
        <w:ind w:firstLine="420"/>
        <w:jc w:val="both"/>
      </w:pPr>
      <w:r>
        <w:rPr>
          <w:rFonts w:ascii="仿宋_GB2312" w:hAnsi="仿宋_GB2312" w:eastAsia="仿宋_GB2312"/>
          <w:b w:val="0"/>
          <w:color w:val="000000"/>
          <w:sz w:val="32"/>
        </w:rPr>
        <w:t>海尔集团为民营股份制企业，生态园项目由集团统筹，治理规范，党建与"人单合一"模式结合。</w:t>
      </w:r>
    </w:p>
    <w:p>
      <w:pPr>
        <w:spacing w:lineRule="exact" w:line="600" w:before="120" w:after="120"/>
        <w:ind w:firstLine="420"/>
        <w:jc w:val="left"/>
      </w:pPr>
      <w:r>
        <w:rPr>
          <w:rFonts w:ascii="楷体_GB2312" w:hAnsi="楷体_GB2312" w:eastAsia="楷体_GB2312"/>
          <w:b w:val="0"/>
          <w:color w:val="000000"/>
          <w:sz w:val="32"/>
        </w:rPr>
        <w:t>（二）管理层</w:t>
      </w:r>
    </w:p>
    <w:p>
      <w:pPr>
        <w:spacing w:lineRule="exact" w:line="600" w:before="0" w:after="0"/>
        <w:ind w:firstLine="420"/>
        <w:jc w:val="both"/>
      </w:pPr>
      <w:r>
        <w:rPr>
          <w:rFonts w:ascii="仿宋_GB2312" w:hAnsi="仿宋_GB2312" w:eastAsia="仿宋_GB2312"/>
          <w:b w:val="0"/>
          <w:color w:val="000000"/>
          <w:sz w:val="32"/>
        </w:rPr>
        <w:t>海尔集团高层（如副总裁吴勇等）主导生态园建设运营；管理层具全球家电与工业互联网经验。</w:t>
      </w:r>
    </w:p>
    <w:p>
      <w:pPr>
        <w:spacing w:lineRule="exact" w:line="600" w:before="120" w:after="120"/>
        <w:ind w:firstLine="420"/>
        <w:jc w:val="left"/>
      </w:pPr>
      <w:r>
        <w:rPr>
          <w:rFonts w:ascii="楷体_GB2312" w:hAnsi="楷体_GB2312" w:eastAsia="楷体_GB2312"/>
          <w:b w:val="0"/>
          <w:color w:val="000000"/>
          <w:sz w:val="32"/>
        </w:rPr>
        <w:t>（三）组织与内控</w:t>
      </w:r>
    </w:p>
    <w:p>
      <w:pPr>
        <w:spacing w:lineRule="exact" w:line="600" w:before="0" w:after="0"/>
        <w:ind w:firstLine="420"/>
        <w:jc w:val="both"/>
      </w:pPr>
      <w:r>
        <w:rPr>
          <w:rFonts w:ascii="仿宋_GB2312" w:hAnsi="仿宋_GB2312" w:eastAsia="仿宋_GB2312"/>
          <w:b w:val="0"/>
          <w:color w:val="000000"/>
          <w:sz w:val="32"/>
        </w:rPr>
        <w:t>依托海尔成熟的内控、质量与数字化管理体系，园区工厂应用AI智能检测、智慧物流等上百项先进技术。</w:t>
      </w:r>
    </w:p>
    <w:p>
      <w:pPr>
        <w:spacing w:lineRule="exact" w:line="600" w:before="120" w:after="120"/>
        <w:ind w:firstLine="420"/>
        <w:jc w:val="left"/>
      </w:pPr>
      <w:r>
        <w:rPr>
          <w:rFonts w:ascii="楷体_GB2312" w:hAnsi="楷体_GB2312" w:eastAsia="楷体_GB2312"/>
          <w:b w:val="0"/>
          <w:color w:val="000000"/>
          <w:sz w:val="32"/>
        </w:rPr>
        <w:t>（四）人力资源</w:t>
      </w:r>
    </w:p>
    <w:p>
      <w:pPr>
        <w:spacing w:lineRule="exact" w:line="600" w:before="0" w:after="0"/>
        <w:ind w:firstLine="420"/>
        <w:jc w:val="both"/>
      </w:pPr>
      <w:r>
        <w:rPr>
          <w:rFonts w:ascii="仿宋_GB2312" w:hAnsi="仿宋_GB2312" w:eastAsia="仿宋_GB2312"/>
          <w:b w:val="0"/>
          <w:color w:val="000000"/>
          <w:sz w:val="32"/>
        </w:rPr>
        <w:t>2024年冰箱一/二厂复工3100余人；全部达产预计带动就业1.8万人；依托海尔人才体系与本地招聘（如"才聚上合"招聘会）保障用工。</w:t>
      </w:r>
    </w:p>
    <w:p>
      <w:pPr>
        <w:spacing w:lineRule="exact" w:line="600" w:before="120" w:after="120"/>
        <w:ind w:firstLine="420"/>
        <w:jc w:val="left"/>
      </w:pPr>
      <w:r>
        <w:rPr>
          <w:rFonts w:ascii="黑体" w:hAnsi="黑体" w:eastAsia="黑体"/>
          <w:b w:val="0"/>
          <w:color w:val="000000"/>
          <w:sz w:val="32"/>
        </w:rPr>
        <w:t>五、核心竞争力（护城河）</w:t>
      </w:r>
    </w:p>
    <w:p>
      <w:pPr>
        <w:spacing w:lineRule="exact" w:line="600" w:before="0" w:after="0"/>
        <w:ind w:firstLine="420"/>
        <w:jc w:val="both"/>
      </w:pPr>
      <w:r>
        <w:rPr>
          <w:rFonts w:ascii="仿宋_GB2312" w:hAnsi="仿宋_GB2312" w:eastAsia="仿宋_GB2312"/>
          <w:b w:val="0"/>
          <w:color w:val="000000"/>
          <w:sz w:val="32"/>
        </w:rPr>
        <w:t>规模与链主：全球投资最大、规划产能2600万台的家电园区，胶州千亿产业链链主。</w:t>
      </w:r>
    </w:p>
    <w:p>
      <w:pPr>
        <w:spacing w:lineRule="exact" w:line="600" w:before="0" w:after="0"/>
        <w:ind w:firstLine="420"/>
        <w:jc w:val="both"/>
      </w:pPr>
      <w:r>
        <w:rPr>
          <w:rFonts w:ascii="仿宋_GB2312" w:hAnsi="仿宋_GB2312" w:eastAsia="仿宋_GB2312"/>
          <w:b w:val="0"/>
          <w:color w:val="000000"/>
          <w:sz w:val="32"/>
        </w:rPr>
        <w:t>工业互联网：卡奥斯COSMOPlat平台赋能，38项关键零部件自制、核心模块自制率100%。</w:t>
      </w:r>
    </w:p>
    <w:p>
      <w:pPr>
        <w:spacing w:lineRule="exact" w:line="600" w:before="0" w:after="0"/>
        <w:ind w:firstLine="420"/>
        <w:jc w:val="both"/>
      </w:pPr>
      <w:r>
        <w:rPr>
          <w:rFonts w:ascii="仿宋_GB2312" w:hAnsi="仿宋_GB2312" w:eastAsia="仿宋_GB2312"/>
          <w:b w:val="0"/>
          <w:color w:val="000000"/>
          <w:sz w:val="32"/>
        </w:rPr>
        <w:t>智能制造：灯塔工厂体系、AI检测、柔性混流生产、全流程数字化。</w:t>
      </w:r>
    </w:p>
    <w:p>
      <w:pPr>
        <w:spacing w:lineRule="exact" w:line="600" w:before="0" w:after="0"/>
        <w:ind w:firstLine="420"/>
        <w:jc w:val="both"/>
      </w:pPr>
      <w:r>
        <w:rPr>
          <w:rFonts w:ascii="仿宋_GB2312" w:hAnsi="仿宋_GB2312" w:eastAsia="仿宋_GB2312"/>
          <w:b w:val="0"/>
          <w:color w:val="000000"/>
          <w:sz w:val="32"/>
        </w:rPr>
        <w:t>品牌与渠道：海尔连续16年大型家电零售量全球第一，全球渠道完备。</w:t>
      </w:r>
    </w:p>
    <w:p>
      <w:pPr>
        <w:spacing w:lineRule="exact" w:line="600" w:before="120" w:after="120"/>
        <w:ind w:firstLine="420"/>
        <w:jc w:val="left"/>
      </w:pPr>
      <w:r>
        <w:rPr>
          <w:rFonts w:ascii="黑体" w:hAnsi="黑体" w:eastAsia="黑体"/>
          <w:b w:val="0"/>
          <w:color w:val="000000"/>
          <w:sz w:val="32"/>
        </w:rPr>
        <w:t>六、风险分析</w:t>
      </w:r>
    </w:p>
    <w:p>
      <w:pPr>
        <w:spacing w:lineRule="exact" w:line="600" w:before="120" w:after="120"/>
        <w:ind w:firstLine="420"/>
        <w:jc w:val="left"/>
      </w:pPr>
      <w:r>
        <w:rPr>
          <w:rFonts w:ascii="楷体_GB2312" w:hAnsi="楷体_GB2312" w:eastAsia="楷体_GB2312"/>
          <w:b w:val="0"/>
          <w:color w:val="000000"/>
          <w:sz w:val="32"/>
        </w:rPr>
        <w:t>（一）行业风险</w:t>
      </w:r>
    </w:p>
    <w:p>
      <w:pPr>
        <w:spacing w:lineRule="exact" w:line="600" w:before="0" w:after="0"/>
        <w:ind w:firstLine="420"/>
        <w:jc w:val="both"/>
      </w:pPr>
      <w:r>
        <w:rPr>
          <w:rFonts w:ascii="仿宋_GB2312" w:hAnsi="仿宋_GB2312" w:eastAsia="仿宋_GB2312"/>
          <w:b w:val="0"/>
          <w:color w:val="000000"/>
          <w:sz w:val="32"/>
        </w:rPr>
        <w:t>家电行业周期与全球需求波动、贸易摩擦影响出口；重资产扩张需匹配需求。</w:t>
      </w:r>
    </w:p>
    <w:p>
      <w:pPr>
        <w:spacing w:lineRule="exact" w:line="600" w:before="120" w:after="120"/>
        <w:ind w:firstLine="420"/>
        <w:jc w:val="left"/>
      </w:pPr>
      <w:r>
        <w:rPr>
          <w:rFonts w:ascii="楷体_GB2312" w:hAnsi="楷体_GB2312" w:eastAsia="楷体_GB2312"/>
          <w:b w:val="0"/>
          <w:color w:val="000000"/>
          <w:sz w:val="32"/>
        </w:rPr>
        <w:t>（二）经营风险</w:t>
      </w:r>
    </w:p>
    <w:p>
      <w:pPr>
        <w:spacing w:lineRule="exact" w:line="600" w:before="0" w:after="0"/>
        <w:ind w:firstLine="420"/>
        <w:jc w:val="both"/>
      </w:pPr>
      <w:r>
        <w:rPr>
          <w:rFonts w:ascii="仿宋_GB2312" w:hAnsi="仿宋_GB2312" w:eastAsia="仿宋_GB2312"/>
          <w:b w:val="0"/>
          <w:color w:val="000000"/>
          <w:sz w:val="32"/>
        </w:rPr>
        <w:t>园区多工厂滚动建设，产能释放与市场需求匹配存在节奏风险。</w:t>
      </w:r>
    </w:p>
    <w:p>
      <w:pPr>
        <w:spacing w:lineRule="exact" w:line="600" w:before="120" w:after="120"/>
        <w:ind w:firstLine="420"/>
        <w:jc w:val="left"/>
      </w:pPr>
      <w:r>
        <w:rPr>
          <w:rFonts w:ascii="楷体_GB2312" w:hAnsi="楷体_GB2312" w:eastAsia="楷体_GB2312"/>
          <w:b w:val="0"/>
          <w:color w:val="000000"/>
          <w:sz w:val="32"/>
        </w:rPr>
        <w:t>（三）财务风险</w:t>
      </w:r>
    </w:p>
    <w:p>
      <w:pPr>
        <w:spacing w:lineRule="exact" w:line="600" w:before="0" w:after="0"/>
        <w:ind w:firstLine="420"/>
        <w:jc w:val="both"/>
      </w:pPr>
      <w:r>
        <w:rPr>
          <w:rFonts w:ascii="仿宋_GB2312" w:hAnsi="仿宋_GB2312" w:eastAsia="仿宋_GB2312"/>
          <w:b w:val="0"/>
          <w:color w:val="000000"/>
          <w:sz w:val="32"/>
        </w:rPr>
        <w:t>项目财务未单独披露；130亿投资资本开支大，但依托集团实力可控。</w:t>
      </w:r>
    </w:p>
    <w:p>
      <w:pPr>
        <w:spacing w:lineRule="exact" w:line="600" w:before="120" w:after="120"/>
        <w:ind w:firstLine="420"/>
        <w:jc w:val="left"/>
      </w:pPr>
      <w:r>
        <w:rPr>
          <w:rFonts w:ascii="楷体_GB2312" w:hAnsi="楷体_GB2312" w:eastAsia="楷体_GB2312"/>
          <w:b w:val="0"/>
          <w:color w:val="000000"/>
          <w:sz w:val="32"/>
        </w:rPr>
        <w:t>（四）合规风险</w:t>
      </w:r>
    </w:p>
    <w:p>
      <w:pPr>
        <w:spacing w:lineRule="exact" w:line="600" w:before="0" w:after="0"/>
        <w:ind w:firstLine="420"/>
        <w:jc w:val="both"/>
      </w:pPr>
      <w:r>
        <w:rPr>
          <w:rFonts w:ascii="仿宋_GB2312" w:hAnsi="仿宋_GB2312" w:eastAsia="仿宋_GB2312"/>
          <w:b w:val="0"/>
          <w:color w:val="000000"/>
          <w:sz w:val="32"/>
        </w:rPr>
        <w:t>涉及数据跨境、出口合规与安全生产监管要求。</w:t>
      </w:r>
    </w:p>
    <w:p>
      <w:pPr>
        <w:spacing w:lineRule="exact" w:line="600" w:before="120" w:after="120"/>
        <w:ind w:firstLine="420"/>
        <w:jc w:val="left"/>
      </w:pPr>
      <w:r>
        <w:rPr>
          <w:rFonts w:ascii="楷体_GB2312" w:hAnsi="楷体_GB2312" w:eastAsia="楷体_GB2312"/>
          <w:b w:val="0"/>
          <w:color w:val="000000"/>
          <w:sz w:val="32"/>
        </w:rPr>
        <w:t>（五）应对措施</w:t>
      </w:r>
    </w:p>
    <w:p>
      <w:pPr>
        <w:spacing w:lineRule="exact" w:line="600" w:before="0" w:after="0"/>
        <w:ind w:firstLine="420"/>
        <w:jc w:val="both"/>
      </w:pPr>
      <w:r>
        <w:rPr>
          <w:rFonts w:ascii="仿宋_GB2312" w:hAnsi="仿宋_GB2312" w:eastAsia="仿宋_GB2312"/>
          <w:b w:val="0"/>
          <w:color w:val="000000"/>
          <w:sz w:val="32"/>
        </w:rPr>
        <w:t>以销定产、柔性制造；强化卡奥斯平台赋能降本；拓展内外销平衡区域风险；绿色智能制造降能耗。</w:t>
      </w:r>
    </w:p>
    <w:p>
      <w:pPr>
        <w:spacing w:lineRule="exact" w:line="600" w:before="120" w:after="120"/>
        <w:ind w:firstLine="420"/>
        <w:jc w:val="left"/>
      </w:pPr>
      <w:r>
        <w:rPr>
          <w:rFonts w:ascii="黑体" w:hAnsi="黑体" w:eastAsia="黑体"/>
          <w:b w:val="0"/>
          <w:color w:val="000000"/>
          <w:sz w:val="32"/>
        </w:rPr>
        <w:t>七、融资需求（与山东投资协同）</w:t>
      </w:r>
    </w:p>
    <w:p>
      <w:pPr>
        <w:spacing w:lineRule="exact" w:line="600" w:before="0" w:after="0"/>
        <w:ind w:firstLine="420"/>
        <w:jc w:val="both"/>
      </w:pPr>
      <w:r>
        <w:rPr>
          <w:rFonts w:ascii="仿宋_GB2312" w:hAnsi="仿宋_GB2312" w:eastAsia="仿宋_GB2312"/>
          <w:b w:val="0"/>
          <w:color w:val="000000"/>
          <w:sz w:val="32"/>
        </w:rPr>
        <w:t>保理业务：面向全球客户的应收账款可开展保理，改善外汇回款。</w:t>
      </w:r>
    </w:p>
    <w:p>
      <w:pPr>
        <w:spacing w:lineRule="exact" w:line="600" w:before="0" w:after="0"/>
        <w:ind w:firstLine="420"/>
        <w:jc w:val="both"/>
      </w:pPr>
      <w:r>
        <w:rPr>
          <w:rFonts w:ascii="仿宋_GB2312" w:hAnsi="仿宋_GB2312" w:eastAsia="仿宋_GB2312"/>
          <w:b w:val="0"/>
          <w:color w:val="000000"/>
          <w:sz w:val="32"/>
        </w:rPr>
        <w:t>供应链金融：以海尔为链主，为上游配套（山鹰、万朗磁塑等）供应商提供供应链金融服务。</w:t>
      </w:r>
    </w:p>
    <w:p>
      <w:pPr>
        <w:spacing w:lineRule="exact" w:line="600" w:before="0" w:after="0"/>
        <w:ind w:firstLine="420"/>
        <w:jc w:val="both"/>
      </w:pPr>
      <w:r>
        <w:rPr>
          <w:rFonts w:ascii="仿宋_GB2312" w:hAnsi="仿宋_GB2312" w:eastAsia="仿宋_GB2312"/>
          <w:b w:val="0"/>
          <w:color w:val="000000"/>
          <w:sz w:val="32"/>
        </w:rPr>
        <w:t>融资租赁：智能产线、设备可通过融资租赁优化资本结构。</w:t>
      </w:r>
    </w:p>
    <w:p>
      <w:pPr>
        <w:spacing w:lineRule="exact" w:line="600" w:before="0" w:after="0"/>
        <w:ind w:firstLine="420"/>
        <w:jc w:val="both"/>
      </w:pPr>
      <w:r>
        <w:rPr>
          <w:rFonts w:ascii="仿宋_GB2312" w:hAnsi="仿宋_GB2312" w:eastAsia="仿宋_GB2312"/>
          <w:b w:val="0"/>
          <w:color w:val="000000"/>
          <w:sz w:val="32"/>
        </w:rPr>
        <w:t>小额贷款：为园区内中小配套商提供周转支持，完善生态。</w:t>
      </w:r>
    </w:p>
    <w:p>
      <w:pPr>
        <w:spacing w:lineRule="exact" w:line="600" w:before="120" w:after="120"/>
        <w:ind w:firstLine="420"/>
        <w:jc w:val="left"/>
      </w:pPr>
      <w:r>
        <w:rPr>
          <w:rFonts w:ascii="黑体" w:hAnsi="黑体" w:eastAsia="黑体"/>
          <w:b w:val="0"/>
          <w:color w:val="000000"/>
          <w:sz w:val="32"/>
        </w:rPr>
        <w:t>八、综合评价、发展展望与建议</w:t>
      </w:r>
    </w:p>
    <w:p>
      <w:pPr>
        <w:spacing w:lineRule="exact" w:line="600" w:before="0" w:after="0"/>
        <w:ind w:firstLine="420"/>
        <w:jc w:val="both"/>
      </w:pPr>
      <w:r>
        <w:rPr>
          <w:rFonts w:ascii="仿宋_GB2312" w:hAnsi="仿宋_GB2312" w:eastAsia="仿宋_GB2312"/>
          <w:b w:val="0"/>
          <w:color w:val="000000"/>
          <w:sz w:val="32"/>
        </w:rPr>
        <w:t>综合评价：海尔卡奥斯生态园是胶州智能家电千亿产业链的链主引擎，投资规模、智能化水平与产业链完整性均居全球前列，对区域先进制造业与数字经济发展带动极强。</w:t>
      </w:r>
    </w:p>
    <w:p>
      <w:pPr>
        <w:spacing w:lineRule="exact" w:line="600" w:before="0" w:after="0"/>
        <w:ind w:firstLine="420"/>
        <w:jc w:val="both"/>
      </w:pPr>
      <w:r>
        <w:rPr>
          <w:rFonts w:ascii="仿宋_GB2312" w:hAnsi="仿宋_GB2312" w:eastAsia="仿宋_GB2312"/>
          <w:b w:val="0"/>
          <w:color w:val="000000"/>
          <w:sz w:val="32"/>
        </w:rPr>
        <w:t>发展展望：全部达产后年产值超400亿元、就业1.8万人，将助力胶州成为首个千亿级智能家电产业链；与海尔集团4016亿营收体量协同，成长确定性强。</w:t>
      </w:r>
    </w:p>
    <w:p>
      <w:pPr>
        <w:spacing w:lineRule="exact" w:line="600" w:before="0" w:after="0"/>
        <w:ind w:firstLine="420"/>
        <w:jc w:val="both"/>
      </w:pPr>
      <w:r>
        <w:rPr>
          <w:rFonts w:ascii="仿宋_GB2312" w:hAnsi="仿宋_GB2312" w:eastAsia="仿宋_GB2312"/>
          <w:b w:val="0"/>
          <w:color w:val="000000"/>
          <w:sz w:val="32"/>
        </w:rPr>
        <w:t>挑战：重资产投资节奏、全球需求与贸易摩擦、供应链协同复杂度。</w:t>
      </w:r>
    </w:p>
    <w:p>
      <w:pPr>
        <w:spacing w:lineRule="exact" w:line="600" w:before="0" w:after="0"/>
        <w:ind w:firstLine="420"/>
        <w:jc w:val="both"/>
      </w:pPr>
      <w:r>
        <w:rPr>
          <w:rFonts w:ascii="仿宋_GB2312" w:hAnsi="仿宋_GB2312" w:eastAsia="仿宋_GB2312"/>
          <w:b w:val="0"/>
          <w:color w:val="000000"/>
          <w:sz w:val="32"/>
        </w:rPr>
        <w:t>建议：一是以供应链金融赋能配套中小企业；二是深化与山东投资在融资租赁、产业基金领域协同；三是巩固灯塔工厂标杆，向绿色智能制造升级。</w:t>
      </w:r>
    </w:p>
    <w:p>
      <w:pPr>
        <w:spacing w:lineRule="exact" w:line="600" w:before="0" w:after="0"/>
        <w:jc w:val="left"/>
      </w:pPr>
      <w:r>
        <w:rPr>
          <w:rFonts w:ascii="仿宋_GB2312" w:hAnsi="仿宋_GB2312" w:eastAsia="仿宋_GB2312"/>
          <w:b w:val="0"/>
          <w:color w:val="000000"/>
          <w:sz w:val="28"/>
        </w:rPr>
        <w:t>数据来源说明：本报告数据来源于海尔官网（haier.com）、胶州市政府网（jzrm.jiaozhou.gov.cn）、新华网、青岛日报（guanhai.com.cn）等公开渠道。项目层面财务未单独披露，已如实标注；集团数据引自海尔集团公开披露。</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