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山东青岛胶州区(智能家电电子)特色产业集群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青岛鑫精诚精密科技有限公司企业分析报告</w:t>
      </w:r>
    </w:p>
    <w:p>
      <w:pPr>
        <w:spacing w:lineRule="exact" w:line="600" w:before="0" w:after="0"/>
        <w:jc w:val="left"/>
      </w:pPr>
      <w:r>
        <w:rPr>
          <w:rFonts w:ascii="仿宋_GB2312" w:hAnsi="仿宋_GB2312" w:eastAsia="仿宋_GB2312"/>
          <w:b w:val="0"/>
          <w:color w:val="000000"/>
          <w:sz w:val="28"/>
        </w:rPr>
        <w:t>（本报告数据来源于企业官网（xjckj.cn）、天眼查、爱企查等公开渠道，统计时点截至2025年最新披露信息。该公司为非上市民营企业，财务数据未公开披露，已如实标注。）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鑫精诚精密科技有限公司成立于2015年3月12日，法定代表人为王守永，注册资本3000万元人民币（实缴1558.59万元），企业类型为自然人独资有限责任公司，王守永持股100%并任执行董事兼总经理，严云任监事。注册地址为山东省青岛市胶州市胶东街道办事处台湾工业园青力路西60米，统一社会信用代码91370281334047511C，登记机关为胶州市市场监督管理局，经营状态为开业。</w:t>
      </w:r>
    </w:p>
    <w:p>
      <w:pPr>
        <w:spacing w:lineRule="exact" w:line="600" w:before="0" w:after="0"/>
        <w:ind w:firstLine="420"/>
        <w:jc w:val="both"/>
      </w:pPr>
      <w:r>
        <w:rPr>
          <w:rFonts w:ascii="仿宋_GB2312" w:hAnsi="仿宋_GB2312" w:eastAsia="仿宋_GB2312"/>
          <w:b w:val="0"/>
          <w:color w:val="000000"/>
          <w:sz w:val="32"/>
        </w:rPr>
        <w:t>公司专注家电与汽车钣金冲压模具及精密冲压件研发制造，是国家级高新技术企业、省级专精特新企业，拥有33项自主专利，为家电钣金精密制造细分领域的"隐形冠军"潜力企业。</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551"/>
          </w:tcPr>
          <w:p>
            <w:pPr>
              <w:spacing w:lineRule="exact" w:line="600"/>
              <w:jc w:val="center"/>
            </w:pPr>
            <w:r/>
            <w:r>
              <w:rPr>
                <w:rFonts w:ascii="仿宋_GB2312" w:hAnsi="仿宋_GB2312" w:eastAsia="仿宋_GB2312"/>
                <w:b w:val="0"/>
                <w:color w:val="000000"/>
                <w:sz w:val="32"/>
              </w:rPr>
              <w:t>企业名称</w:t>
            </w:r>
          </w:p>
        </w:tc>
        <w:tc>
          <w:tcPr>
            <w:tcW w:type="dxa" w:w="6803"/>
          </w:tcPr>
          <w:p>
            <w:pPr>
              <w:spacing w:lineRule="exact" w:line="600"/>
              <w:jc w:val="center"/>
            </w:pPr>
            <w:r/>
            <w:r>
              <w:rPr>
                <w:rFonts w:ascii="仿宋_GB2312" w:hAnsi="仿宋_GB2312" w:eastAsia="仿宋_GB2312"/>
                <w:b w:val="0"/>
                <w:color w:val="000000"/>
                <w:sz w:val="32"/>
              </w:rPr>
              <w:t>青岛鑫精诚精密科技有限公司</w:t>
            </w:r>
          </w:p>
        </w:tc>
      </w:tr>
      <w:tr>
        <w:tc>
          <w:tcPr>
            <w:tcW w:type="dxa" w:w="2551"/>
          </w:tcPr>
          <w:p>
            <w:pPr>
              <w:spacing w:lineRule="exact" w:line="600"/>
              <w:jc w:val="center"/>
            </w:pPr>
            <w:r/>
            <w:r>
              <w:rPr>
                <w:rFonts w:ascii="仿宋_GB2312" w:hAnsi="仿宋_GB2312" w:eastAsia="仿宋_GB2312"/>
                <w:b w:val="0"/>
                <w:color w:val="000000"/>
                <w:sz w:val="32"/>
              </w:rPr>
              <w:t>成立日期</w:t>
            </w:r>
          </w:p>
        </w:tc>
        <w:tc>
          <w:tcPr>
            <w:tcW w:type="dxa" w:w="6803"/>
          </w:tcPr>
          <w:p>
            <w:pPr>
              <w:spacing w:lineRule="exact" w:line="600"/>
              <w:jc w:val="center"/>
            </w:pPr>
            <w:r/>
            <w:r>
              <w:rPr>
                <w:rFonts w:ascii="仿宋_GB2312" w:hAnsi="仿宋_GB2312" w:eastAsia="仿宋_GB2312"/>
                <w:b w:val="0"/>
                <w:color w:val="000000"/>
                <w:sz w:val="32"/>
              </w:rPr>
              <w:t>2015-03-12</w:t>
            </w:r>
          </w:p>
        </w:tc>
      </w:tr>
      <w:tr>
        <w:tc>
          <w:tcPr>
            <w:tcW w:type="dxa" w:w="2551"/>
          </w:tcPr>
          <w:p>
            <w:pPr>
              <w:spacing w:lineRule="exact" w:line="600"/>
              <w:jc w:val="center"/>
            </w:pPr>
            <w:r/>
            <w:r>
              <w:rPr>
                <w:rFonts w:ascii="仿宋_GB2312" w:hAnsi="仿宋_GB2312" w:eastAsia="仿宋_GB2312"/>
                <w:b w:val="0"/>
                <w:color w:val="000000"/>
                <w:sz w:val="32"/>
              </w:rPr>
              <w:t>法定代表人</w:t>
            </w:r>
          </w:p>
        </w:tc>
        <w:tc>
          <w:tcPr>
            <w:tcW w:type="dxa" w:w="6803"/>
          </w:tcPr>
          <w:p>
            <w:pPr>
              <w:spacing w:lineRule="exact" w:line="600"/>
              <w:jc w:val="center"/>
            </w:pPr>
            <w:r/>
            <w:r>
              <w:rPr>
                <w:rFonts w:ascii="仿宋_GB2312" w:hAnsi="仿宋_GB2312" w:eastAsia="仿宋_GB2312"/>
                <w:b w:val="0"/>
                <w:color w:val="000000"/>
                <w:sz w:val="32"/>
              </w:rPr>
              <w:t>王守永（自然人独资，持股100%）</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803"/>
          </w:tcPr>
          <w:p>
            <w:pPr>
              <w:spacing w:lineRule="exact" w:line="600"/>
              <w:jc w:val="center"/>
            </w:pPr>
            <w:r/>
            <w:r>
              <w:rPr>
                <w:rFonts w:ascii="仿宋_GB2312" w:hAnsi="仿宋_GB2312" w:eastAsia="仿宋_GB2312"/>
                <w:b w:val="0"/>
                <w:color w:val="000000"/>
                <w:sz w:val="32"/>
              </w:rPr>
              <w:t>3000万元（实缴1558.59万元）</w:t>
            </w:r>
          </w:p>
        </w:tc>
      </w:tr>
      <w:tr>
        <w:tc>
          <w:tcPr>
            <w:tcW w:type="dxa" w:w="2551"/>
          </w:tcPr>
          <w:p>
            <w:pPr>
              <w:spacing w:lineRule="exact" w:line="600"/>
              <w:jc w:val="center"/>
            </w:pPr>
            <w:r/>
            <w:r>
              <w:rPr>
                <w:rFonts w:ascii="仿宋_GB2312" w:hAnsi="仿宋_GB2312" w:eastAsia="仿宋_GB2312"/>
                <w:b w:val="0"/>
                <w:color w:val="000000"/>
                <w:sz w:val="32"/>
              </w:rPr>
              <w:t>注册地址</w:t>
            </w:r>
          </w:p>
        </w:tc>
        <w:tc>
          <w:tcPr>
            <w:tcW w:type="dxa" w:w="6803"/>
          </w:tcPr>
          <w:p>
            <w:pPr>
              <w:spacing w:lineRule="exact" w:line="600"/>
              <w:jc w:val="center"/>
            </w:pPr>
            <w:r/>
            <w:r>
              <w:rPr>
                <w:rFonts w:ascii="仿宋_GB2312" w:hAnsi="仿宋_GB2312" w:eastAsia="仿宋_GB2312"/>
                <w:b w:val="0"/>
                <w:color w:val="000000"/>
                <w:sz w:val="32"/>
              </w:rPr>
              <w:t>山东省青岛市胶州市胶东街道台湾工业园</w:t>
            </w:r>
          </w:p>
        </w:tc>
      </w:tr>
      <w:tr>
        <w:tc>
          <w:tcPr>
            <w:tcW w:type="dxa" w:w="2551"/>
          </w:tcPr>
          <w:p>
            <w:pPr>
              <w:spacing w:lineRule="exact" w:line="600"/>
              <w:jc w:val="center"/>
            </w:pPr>
            <w:r/>
            <w:r>
              <w:rPr>
                <w:rFonts w:ascii="仿宋_GB2312" w:hAnsi="仿宋_GB2312" w:eastAsia="仿宋_GB2312"/>
                <w:b w:val="0"/>
                <w:color w:val="000000"/>
                <w:sz w:val="32"/>
              </w:rPr>
              <w:t>资质</w:t>
            </w:r>
          </w:p>
        </w:tc>
        <w:tc>
          <w:tcPr>
            <w:tcW w:type="dxa" w:w="6803"/>
          </w:tcPr>
          <w:p>
            <w:pPr>
              <w:spacing w:lineRule="exact" w:line="600"/>
              <w:jc w:val="center"/>
            </w:pPr>
            <w:r/>
            <w:r>
              <w:rPr>
                <w:rFonts w:ascii="仿宋_GB2312" w:hAnsi="仿宋_GB2312" w:eastAsia="仿宋_GB2312"/>
                <w:b w:val="0"/>
                <w:color w:val="000000"/>
                <w:sz w:val="32"/>
              </w:rPr>
              <w:t>国家级高新技术企业、省级专精特新企业</w:t>
            </w:r>
          </w:p>
        </w:tc>
      </w:tr>
      <w:tr>
        <w:tc>
          <w:tcPr>
            <w:tcW w:type="dxa" w:w="2551"/>
          </w:tcPr>
          <w:p>
            <w:pPr>
              <w:spacing w:lineRule="exact" w:line="600"/>
              <w:jc w:val="center"/>
            </w:pPr>
            <w:r/>
            <w:r>
              <w:rPr>
                <w:rFonts w:ascii="仿宋_GB2312" w:hAnsi="仿宋_GB2312" w:eastAsia="仿宋_GB2312"/>
                <w:b w:val="0"/>
                <w:color w:val="000000"/>
                <w:sz w:val="32"/>
              </w:rPr>
              <w:t>统一社会信用代码</w:t>
            </w:r>
          </w:p>
        </w:tc>
        <w:tc>
          <w:tcPr>
            <w:tcW w:type="dxa" w:w="6803"/>
          </w:tcPr>
          <w:p>
            <w:pPr>
              <w:spacing w:lineRule="exact" w:line="600"/>
              <w:jc w:val="center"/>
            </w:pPr>
            <w:r/>
            <w:r>
              <w:rPr>
                <w:rFonts w:ascii="仿宋_GB2312" w:hAnsi="仿宋_GB2312" w:eastAsia="仿宋_GB2312"/>
                <w:b w:val="0"/>
                <w:color w:val="000000"/>
                <w:sz w:val="32"/>
              </w:rPr>
              <w:t>91370281334047511C</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公司设执行董事兼总经理（王守永）、监事（严云），下设研发、生产、质量、销售等部门，拥有百人左右专业技术团队；对外投资2家公司，形成以精密冲压与模具为核心的业务布局。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自2015年成立以来，15年专注家电钣金冲压与模具研发，从单一模具厂成长为集模具研发、精密冲压、焊接成型、全维检测、批量交付于一体的精密制造企业。2019年先后通过海信日立、一汽大众等客户审厂，成为其供应商；连续模具远销英国、意大利、孟加拉等10余国。</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战略定位为家电与汽车精密钣金冲压及模具整体解决方案提供商，是胶州智能家电电子产业链的重要配套企业。主营业务包括：家电钣金冲压模具（洗衣机、冰箱、空调、洗碗机、烤箱等）与冲压件、新能源汽车结构件/压铸件、汽车模具，以及精密金属零部件制造销售。</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w:t>
      </w:r>
    </w:p>
    <w:p>
      <w:pPr>
        <w:spacing w:lineRule="exact" w:line="600" w:before="0" w:after="0"/>
        <w:ind w:firstLine="420"/>
        <w:jc w:val="both"/>
      </w:pPr>
      <w:r>
        <w:rPr>
          <w:rFonts w:ascii="仿宋_GB2312" w:hAnsi="仿宋_GB2312" w:eastAsia="仿宋_GB2312"/>
          <w:b w:val="0"/>
          <w:color w:val="000000"/>
          <w:sz w:val="32"/>
        </w:rPr>
        <w:t>业务以家电钣金模具与冲压件为主业，并拓展新能源汽车结构件/压铸件与汽车模具，形成"家电+汽车"双赛道。</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产品：一出四洗衣机角板、热水器封头模具、干衣机底板、冰箱门壳模具等家电连续模具；洗衣机、冰箱、空调、烤箱等钣金冲压件；新能源汽车结构件、压铸件、座椅件。技术亮点：模具寿命可达200万冲次（行业平均约20万次），尺寸公差±0.01mm，产品合格率98%以上；不锈钢防跳屑、防起皱量产工艺行业领先。</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公司为海尔、海信、美的、康佳、美菱、小米、TCL、创维等一众知名家电品牌的一级核心供应商，并进入海信日立、一汽大众等供应链；产品覆盖全国并远销全球20余个国家与地区，客户层级高、黏性强。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原材料为钢材、不锈钢（SUS304/430）、模具钢及标准配件（MISUMI等），依托胶州家电产业链就近配套。</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拥有13000平方米标准化生产厂房，配齐全吨位冲压设备、CNC精密加工、三坐标检测仪、盐雾试验机等；33项自主专利，国家级高新技术企业、省级专精特新企业资质。</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以面向家电龙头的一级配套直销为主，并拓展汽车与出口市场（连续模具远销10余国）。</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公司为非上市企业，未公开披露营收与利润。公开信息显示其产品覆盖全国、远销20余国，为多家头部家电品牌一级核心供应商，在家电精密钣金模具细分领域具较高市占与口碑；具体营收规模与市占率未公开。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（一）—（六）分析</w:t>
      </w:r>
    </w:p>
    <w:p>
      <w:pPr>
        <w:spacing w:lineRule="exact" w:line="600" w:before="0" w:after="0"/>
        <w:ind w:firstLine="420"/>
        <w:jc w:val="both"/>
      </w:pPr>
      <w:r>
        <w:rPr>
          <w:rFonts w:ascii="仿宋_GB2312" w:hAnsi="仿宋_GB2312" w:eastAsia="仿宋_GB2312"/>
          <w:b w:val="0"/>
          <w:color w:val="000000"/>
          <w:sz w:val="32"/>
        </w:rPr>
        <w:t>青岛鑫精诚精密科技有限公司为非上市民营企业，未公开披露经审计年度财务报表，未公开营收、净利润、资产负债率等指标。公司注册资本3000万元、实缴1558.59万元，参保约42—51人，属中小制造企业；作为头部家电品牌一级供应商，经营基本面稳健，但具体财务数据无法获取，已如实标注。在胶州智能家电集群中，定位于核心精密钣金配套环节。</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自然人独资，王守永集股东、执行董事兼总经理于一身，治理集中高效。</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法定代表人、总经理王守永主导经营；监事严云；管理层具15年钣金模具行业经验。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建立四级质控体系（原材料全检—工序巡检—成品核验—出货抽检），尺寸公差±0.01mm、合格率98%以上，品控规范。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百人左右专业技术团队，33项专利支撑研发；与头部客户审厂合作积累人才。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工艺壁垒：模具寿命200万冲次（远超行业20万次）、不锈钢防跳屑/防起皱量产工艺领先。</w:t>
      </w:r>
    </w:p>
    <w:p>
      <w:pPr>
        <w:spacing w:lineRule="exact" w:line="600" w:before="0" w:after="0"/>
        <w:ind w:firstLine="420"/>
        <w:jc w:val="both"/>
      </w:pPr>
      <w:r>
        <w:rPr>
          <w:rFonts w:ascii="仿宋_GB2312" w:hAnsi="仿宋_GB2312" w:eastAsia="仿宋_GB2312"/>
          <w:b w:val="0"/>
          <w:color w:val="000000"/>
          <w:sz w:val="32"/>
        </w:rPr>
        <w:t>客户壁垒：海尔、海信、美的等头部家电一级核心供应商，认证与客户粘性高。</w:t>
      </w:r>
    </w:p>
    <w:p>
      <w:pPr>
        <w:spacing w:lineRule="exact" w:line="600" w:before="0" w:after="0"/>
        <w:ind w:firstLine="420"/>
        <w:jc w:val="both"/>
      </w:pPr>
      <w:r>
        <w:rPr>
          <w:rFonts w:ascii="仿宋_GB2312" w:hAnsi="仿宋_GB2312" w:eastAsia="仿宋_GB2312"/>
          <w:b w:val="0"/>
          <w:color w:val="000000"/>
          <w:sz w:val="32"/>
        </w:rPr>
        <w:t>资质与专利：国家级高新技术企业、省级专精特新、33项专利。</w:t>
      </w:r>
    </w:p>
    <w:p>
      <w:pPr>
        <w:spacing w:lineRule="exact" w:line="600" w:before="0" w:after="0"/>
        <w:ind w:firstLine="420"/>
        <w:jc w:val="both"/>
      </w:pPr>
      <w:r>
        <w:rPr>
          <w:rFonts w:ascii="仿宋_GB2312" w:hAnsi="仿宋_GB2312" w:eastAsia="仿宋_GB2312"/>
          <w:b w:val="0"/>
          <w:color w:val="000000"/>
          <w:sz w:val="32"/>
        </w:rPr>
        <w:t>产业链协同：根植胶州智能家电集群，就近配套龙头，响应快。</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家电行业周期波动影响上游配套订单；汽车业务拓展亦受行业影响。</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客户集中度高（依赖头部家电品牌）；原材料（钢、不锈钢）价格波动影响成本。</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财务未公开；中小制造企业融资与抗周期能力相对有限。</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劳动用工、安全生产与环保（冲压、焊接）监管要求；历史存在少量涉诉记录（天眼查披露），需关注。</w:t>
      </w:r>
    </w:p>
    <w:p>
      <w:pPr>
        <w:spacing w:lineRule="exact" w:line="600" w:before="120" w:after="120"/>
        <w:ind w:firstLine="420"/>
        <w:jc w:val="left"/>
      </w:pPr>
      <w:r>
        <w:rPr>
          <w:rFonts w:ascii="楷体_GB2312" w:hAnsi="楷体_GB2312" w:eastAsia="楷体_GB2312"/>
          <w:b w:val="0"/>
          <w:color w:val="000000"/>
          <w:sz w:val="32"/>
        </w:rPr>
        <w:t>（五）应对措施</w:t>
      </w:r>
    </w:p>
    <w:p>
      <w:pPr>
        <w:spacing w:lineRule="exact" w:line="600" w:before="0" w:after="0"/>
        <w:ind w:firstLine="420"/>
        <w:jc w:val="both"/>
      </w:pPr>
      <w:r>
        <w:rPr>
          <w:rFonts w:ascii="仿宋_GB2312" w:hAnsi="仿宋_GB2312" w:eastAsia="仿宋_GB2312"/>
          <w:b w:val="0"/>
          <w:color w:val="000000"/>
          <w:sz w:val="32"/>
        </w:rPr>
        <w:t>巩固头部客户、拓展汽车与出口多元客户；强化不锈钢等工艺壁垒；稳健财务与合规管理。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保理业务：面向家电龙头的应收账款可开展保理，加速周转。</w:t>
      </w:r>
    </w:p>
    <w:p>
      <w:pPr>
        <w:spacing w:lineRule="exact" w:line="600" w:before="0" w:after="0"/>
        <w:ind w:firstLine="420"/>
        <w:jc w:val="both"/>
      </w:pPr>
      <w:r>
        <w:rPr>
          <w:rFonts w:ascii="仿宋_GB2312" w:hAnsi="仿宋_GB2312" w:eastAsia="仿宋_GB2312"/>
          <w:b w:val="0"/>
          <w:color w:val="000000"/>
          <w:sz w:val="32"/>
        </w:rPr>
        <w:t>供应链金融：以鑫精诚为节点，为上游钢材、标准件供应商提供供应链金融服务。</w:t>
      </w:r>
    </w:p>
    <w:p>
      <w:pPr>
        <w:spacing w:lineRule="exact" w:line="600" w:before="0" w:after="0"/>
        <w:ind w:firstLine="420"/>
        <w:jc w:val="both"/>
      </w:pPr>
      <w:r>
        <w:rPr>
          <w:rFonts w:ascii="仿宋_GB2312" w:hAnsi="仿宋_GB2312" w:eastAsia="仿宋_GB2312"/>
          <w:b w:val="0"/>
          <w:color w:val="000000"/>
          <w:sz w:val="32"/>
        </w:rPr>
        <w:t>融资租赁：CNC、冲压设备等重资产可通过融资租赁获取，缓解扩产资金压力。</w:t>
      </w:r>
    </w:p>
    <w:p>
      <w:pPr>
        <w:spacing w:lineRule="exact" w:line="600" w:before="0" w:after="0"/>
        <w:ind w:firstLine="420"/>
        <w:jc w:val="both"/>
      </w:pPr>
      <w:r>
        <w:rPr>
          <w:rFonts w:ascii="仿宋_GB2312" w:hAnsi="仿宋_GB2312" w:eastAsia="仿宋_GB2312"/>
          <w:b w:val="0"/>
          <w:color w:val="000000"/>
          <w:sz w:val="32"/>
        </w:rPr>
        <w:t>小额贷款：为上游小微配套商提供周转小贷。</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综合评价：青岛鑫精诚精密科技是胶州智能家电集群中技术实力突出的精密钣金模具配套企业，工艺壁垒高、头部客户优质、专精特新资质齐全，是产业链"强链补链"的关键环节。</w:t>
      </w:r>
    </w:p>
    <w:p>
      <w:pPr>
        <w:spacing w:lineRule="exact" w:line="600" w:before="0" w:after="0"/>
        <w:ind w:firstLine="420"/>
        <w:jc w:val="both"/>
      </w:pPr>
      <w:r>
        <w:rPr>
          <w:rFonts w:ascii="仿宋_GB2312" w:hAnsi="仿宋_GB2312" w:eastAsia="仿宋_GB2312"/>
          <w:b w:val="0"/>
          <w:color w:val="000000"/>
          <w:sz w:val="32"/>
        </w:rPr>
        <w:t>发展展望：随着胶州海尔卡奥斯生态园等千亿级家电产业链扩张，配套需求旺盛；公司拓展新能源汽车结构件与出口，成长空间广阔。</w:t>
      </w:r>
    </w:p>
    <w:p>
      <w:pPr>
        <w:spacing w:lineRule="exact" w:line="600" w:before="0" w:after="0"/>
        <w:ind w:firstLine="420"/>
        <w:jc w:val="both"/>
      </w:pPr>
      <w:r>
        <w:rPr>
          <w:rFonts w:ascii="仿宋_GB2312" w:hAnsi="仿宋_GB2312" w:eastAsia="仿宋_GB2312"/>
          <w:b w:val="0"/>
          <w:color w:val="000000"/>
          <w:sz w:val="32"/>
        </w:rPr>
        <w:t>挑战：客户集中、财务透明度不足、行业周期与原材料波动。</w:t>
      </w:r>
    </w:p>
    <w:p>
      <w:pPr>
        <w:spacing w:lineRule="exact" w:line="600" w:before="0" w:after="0"/>
        <w:ind w:firstLine="420"/>
        <w:jc w:val="both"/>
      </w:pPr>
      <w:r>
        <w:rPr>
          <w:rFonts w:ascii="仿宋_GB2312" w:hAnsi="仿宋_GB2312" w:eastAsia="仿宋_GB2312"/>
          <w:b w:val="0"/>
          <w:color w:val="000000"/>
          <w:sz w:val="32"/>
        </w:rPr>
        <w:t>建议：一是规范财务披露提升融资能力；二是拓展客户与品类降低集中风险；三是深化与山东投资在供应链金融、融资租赁领域的协同，支撑扩产。</w:t>
      </w:r>
    </w:p>
    <w:p>
      <w:pPr>
        <w:spacing w:lineRule="exact" w:line="600" w:before="0" w:after="0"/>
        <w:jc w:val="left"/>
      </w:pPr>
      <w:r>
        <w:rPr>
          <w:rFonts w:ascii="仿宋_GB2312" w:hAnsi="仿宋_GB2312" w:eastAsia="仿宋_GB2312"/>
          <w:b w:val="0"/>
          <w:color w:val="000000"/>
          <w:sz w:val="28"/>
        </w:rPr>
        <w:t>数据来源说明：本报告数据来源于企业官网（xjckj.cn）、天眼查（tianyancha.com）、爱企查（aiqicha.baidu.com）等公开渠道。财务数据未公开披露，已如实标注。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