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山东青岛西海岸新区(纺织机械)特色产业集群</w:t>
      </w:r>
    </w:p>
    <w:p>
      <w:pPr>
        <w:spacing w:lineRule="exact" w:line="600" w:before="240" w:after="240"/>
        <w:ind w:firstLine="0"/>
        <w:jc w:val="center"/>
      </w:pPr>
      <w:r>
        <w:rPr>
          <w:rFonts w:ascii="方正小标宋简体" w:hAnsi="方正小标宋简体" w:eastAsia="方正小标宋简体"/>
          <w:b w:val="0"/>
          <w:color w:val="000000"/>
          <w:sz w:val="44"/>
        </w:rPr>
        <w:t>青岛环球集团股份有限公司企业分析报告</w:t>
      </w:r>
    </w:p>
    <w:p>
      <w:pPr>
        <w:spacing w:lineRule="exact" w:line="600" w:before="0" w:after="0"/>
        <w:jc w:val="left"/>
      </w:pPr>
      <w:r>
        <w:rPr>
          <w:rFonts w:ascii="仿宋_GB2312" w:hAnsi="仿宋_GB2312" w:eastAsia="仿宋_GB2312"/>
          <w:b w:val="0"/>
          <w:color w:val="000000"/>
          <w:sz w:val="28"/>
        </w:rPr>
        <w:t>（本报告数据来源于企业官网（hicorp.cn）、腾讯新闻、中国纱线网、青岛媒体报道等公开渠道，统计时点截至2025年最新披露信息。该公司为非上市民营企业集团，财务数据为公开报道口径，已如实标注。）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青岛环球集团股份有限公司始建于1966年，地处青岛西海岸新区（胶州湾西岸国家级经济新区），注册地址为青岛市黄岛区钱家山路177号。公司是一家综合性智能装备制造企业，历经近60年发展，从传统农具小厂成长为以纺织机械、重工装备、智能仓储物流设备、汽车配件、医用生物液氮罐为主导的现代化企业集团。企业性质为民营，非上市。</w:t>
      </w:r>
    </w:p>
    <w:p>
      <w:pPr>
        <w:spacing w:lineRule="exact" w:line="600" w:before="0" w:after="0"/>
        <w:ind w:firstLine="420"/>
        <w:jc w:val="both"/>
      </w:pPr>
      <w:r>
        <w:rPr>
          <w:rFonts w:ascii="仿宋_GB2312" w:hAnsi="仿宋_GB2312" w:eastAsia="仿宋_GB2312"/>
          <w:b w:val="0"/>
          <w:color w:val="000000"/>
          <w:sz w:val="32"/>
        </w:rPr>
        <w:t>公司旗下拥有赛特环球机械（青岛）有限公司、青岛环球重工科技有限公司、青岛普天智能制造股份有限公司等子公司，其中赛特环球机械与青岛环球重工均为国家级专精特新"小巨人"企业。公司获"中国驰名商标""国家制造业单项冠军示范企业""国家智能制造试点示范企业""工信部智能制造系统解决方案供应商""青岛市智能制造装备产业链链主企业"等荣誉。</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项目</w:t>
            </w:r>
          </w:p>
        </w:tc>
        <w:tc>
          <w:tcPr>
            <w:tcW w:type="dxa" w:w="6803"/>
          </w:tcPr>
          <w:p>
            <w:pPr>
              <w:spacing w:lineRule="exact" w:line="600"/>
              <w:jc w:val="center"/>
            </w:pPr>
            <w:r/>
            <w:r>
              <w:rPr>
                <w:rFonts w:ascii="黑体" w:hAnsi="黑体" w:eastAsia="黑体"/>
                <w:b/>
                <w:color w:val="000000"/>
                <w:sz w:val="32"/>
              </w:rPr>
              <w:t>内容</w:t>
            </w:r>
          </w:p>
        </w:tc>
      </w:tr>
      <w:tr>
        <w:tc>
          <w:tcPr>
            <w:tcW w:type="dxa" w:w="2551"/>
          </w:tcPr>
          <w:p>
            <w:pPr>
              <w:spacing w:lineRule="exact" w:line="600"/>
              <w:jc w:val="center"/>
            </w:pPr>
            <w:r/>
            <w:r>
              <w:rPr>
                <w:rFonts w:ascii="仿宋_GB2312" w:hAnsi="仿宋_GB2312" w:eastAsia="仿宋_GB2312"/>
                <w:b w:val="0"/>
                <w:color w:val="000000"/>
                <w:sz w:val="32"/>
              </w:rPr>
              <w:t>企业名称</w:t>
            </w:r>
          </w:p>
        </w:tc>
        <w:tc>
          <w:tcPr>
            <w:tcW w:type="dxa" w:w="6803"/>
          </w:tcPr>
          <w:p>
            <w:pPr>
              <w:spacing w:lineRule="exact" w:line="600"/>
              <w:jc w:val="center"/>
            </w:pPr>
            <w:r/>
            <w:r>
              <w:rPr>
                <w:rFonts w:ascii="仿宋_GB2312" w:hAnsi="仿宋_GB2312" w:eastAsia="仿宋_GB2312"/>
                <w:b w:val="0"/>
                <w:color w:val="000000"/>
                <w:sz w:val="32"/>
              </w:rPr>
              <w:t>青岛环球集团股份有限公司</w:t>
            </w:r>
          </w:p>
        </w:tc>
      </w:tr>
      <w:tr>
        <w:tc>
          <w:tcPr>
            <w:tcW w:type="dxa" w:w="2551"/>
          </w:tcPr>
          <w:p>
            <w:pPr>
              <w:spacing w:lineRule="exact" w:line="600"/>
              <w:jc w:val="center"/>
            </w:pPr>
            <w:r/>
            <w:r>
              <w:rPr>
                <w:rFonts w:ascii="仿宋_GB2312" w:hAnsi="仿宋_GB2312" w:eastAsia="仿宋_GB2312"/>
                <w:b w:val="0"/>
                <w:color w:val="000000"/>
                <w:sz w:val="32"/>
              </w:rPr>
              <w:t>始建</w:t>
            </w:r>
          </w:p>
        </w:tc>
        <w:tc>
          <w:tcPr>
            <w:tcW w:type="dxa" w:w="6803"/>
          </w:tcPr>
          <w:p>
            <w:pPr>
              <w:spacing w:lineRule="exact" w:line="600"/>
              <w:jc w:val="center"/>
            </w:pPr>
            <w:r/>
            <w:r>
              <w:rPr>
                <w:rFonts w:ascii="仿宋_GB2312" w:hAnsi="仿宋_GB2312" w:eastAsia="仿宋_GB2312"/>
                <w:b w:val="0"/>
                <w:color w:val="000000"/>
                <w:sz w:val="32"/>
              </w:rPr>
              <w:t>1966年</w:t>
            </w:r>
          </w:p>
        </w:tc>
      </w:tr>
      <w:tr>
        <w:tc>
          <w:tcPr>
            <w:tcW w:type="dxa" w:w="2551"/>
          </w:tcPr>
          <w:p>
            <w:pPr>
              <w:spacing w:lineRule="exact" w:line="600"/>
              <w:jc w:val="center"/>
            </w:pPr>
            <w:r/>
            <w:r>
              <w:rPr>
                <w:rFonts w:ascii="仿宋_GB2312" w:hAnsi="仿宋_GB2312" w:eastAsia="仿宋_GB2312"/>
                <w:b w:val="0"/>
                <w:color w:val="000000"/>
                <w:sz w:val="32"/>
              </w:rPr>
              <w:t>注册地址</w:t>
            </w:r>
          </w:p>
        </w:tc>
        <w:tc>
          <w:tcPr>
            <w:tcW w:type="dxa" w:w="6803"/>
          </w:tcPr>
          <w:p>
            <w:pPr>
              <w:spacing w:lineRule="exact" w:line="600"/>
              <w:jc w:val="center"/>
            </w:pPr>
            <w:r/>
            <w:r>
              <w:rPr>
                <w:rFonts w:ascii="仿宋_GB2312" w:hAnsi="仿宋_GB2312" w:eastAsia="仿宋_GB2312"/>
                <w:b w:val="0"/>
                <w:color w:val="000000"/>
                <w:sz w:val="32"/>
              </w:rPr>
              <w:t>青岛市黄岛区钱家山路177号（西海岸新区）</w:t>
            </w:r>
          </w:p>
        </w:tc>
      </w:tr>
      <w:tr>
        <w:tc>
          <w:tcPr>
            <w:tcW w:type="dxa" w:w="2551"/>
          </w:tcPr>
          <w:p>
            <w:pPr>
              <w:spacing w:lineRule="exact" w:line="600"/>
              <w:jc w:val="center"/>
            </w:pPr>
            <w:r/>
            <w:r>
              <w:rPr>
                <w:rFonts w:ascii="仿宋_GB2312" w:hAnsi="仿宋_GB2312" w:eastAsia="仿宋_GB2312"/>
                <w:b w:val="0"/>
                <w:color w:val="000000"/>
                <w:sz w:val="32"/>
              </w:rPr>
              <w:t>企业性质</w:t>
            </w:r>
          </w:p>
        </w:tc>
        <w:tc>
          <w:tcPr>
            <w:tcW w:type="dxa" w:w="6803"/>
          </w:tcPr>
          <w:p>
            <w:pPr>
              <w:spacing w:lineRule="exact" w:line="600"/>
              <w:jc w:val="center"/>
            </w:pPr>
            <w:r/>
            <w:r>
              <w:rPr>
                <w:rFonts w:ascii="仿宋_GB2312" w:hAnsi="仿宋_GB2312" w:eastAsia="仿宋_GB2312"/>
                <w:b w:val="0"/>
                <w:color w:val="000000"/>
                <w:sz w:val="32"/>
              </w:rPr>
              <w:t>民营智能装备制造集团（非上市）</w:t>
            </w:r>
          </w:p>
        </w:tc>
      </w:tr>
      <w:tr>
        <w:tc>
          <w:tcPr>
            <w:tcW w:type="dxa" w:w="2551"/>
          </w:tcPr>
          <w:p>
            <w:pPr>
              <w:spacing w:lineRule="exact" w:line="600"/>
              <w:jc w:val="center"/>
            </w:pPr>
            <w:r/>
            <w:r>
              <w:rPr>
                <w:rFonts w:ascii="仿宋_GB2312" w:hAnsi="仿宋_GB2312" w:eastAsia="仿宋_GB2312"/>
                <w:b w:val="0"/>
                <w:color w:val="000000"/>
                <w:sz w:val="32"/>
              </w:rPr>
              <w:t>员工</w:t>
            </w:r>
          </w:p>
        </w:tc>
        <w:tc>
          <w:tcPr>
            <w:tcW w:type="dxa" w:w="6803"/>
          </w:tcPr>
          <w:p>
            <w:pPr>
              <w:spacing w:lineRule="exact" w:line="600"/>
              <w:jc w:val="center"/>
            </w:pPr>
            <w:r/>
            <w:r>
              <w:rPr>
                <w:rFonts w:ascii="仿宋_GB2312" w:hAnsi="仿宋_GB2312" w:eastAsia="仿宋_GB2312"/>
                <w:b w:val="0"/>
                <w:color w:val="000000"/>
                <w:sz w:val="32"/>
              </w:rPr>
              <w:t>2000余人</w:t>
            </w:r>
          </w:p>
        </w:tc>
      </w:tr>
      <w:tr>
        <w:tc>
          <w:tcPr>
            <w:tcW w:type="dxa" w:w="2551"/>
          </w:tcPr>
          <w:p>
            <w:pPr>
              <w:spacing w:lineRule="exact" w:line="600"/>
              <w:jc w:val="center"/>
            </w:pPr>
            <w:r/>
            <w:r>
              <w:rPr>
                <w:rFonts w:ascii="仿宋_GB2312" w:hAnsi="仿宋_GB2312" w:eastAsia="仿宋_GB2312"/>
                <w:b w:val="0"/>
                <w:color w:val="000000"/>
                <w:sz w:val="32"/>
              </w:rPr>
              <w:t>荣誉</w:t>
            </w:r>
          </w:p>
        </w:tc>
        <w:tc>
          <w:tcPr>
            <w:tcW w:type="dxa" w:w="6803"/>
          </w:tcPr>
          <w:p>
            <w:pPr>
              <w:spacing w:lineRule="exact" w:line="600"/>
              <w:jc w:val="center"/>
            </w:pPr>
            <w:r/>
            <w:r>
              <w:rPr>
                <w:rFonts w:ascii="仿宋_GB2312" w:hAnsi="仿宋_GB2312" w:eastAsia="仿宋_GB2312"/>
                <w:b w:val="0"/>
                <w:color w:val="000000"/>
                <w:sz w:val="32"/>
              </w:rPr>
              <w:t>国家制造业单项冠军、中国驰名商标、青岛智装链主</w:t>
            </w:r>
          </w:p>
        </w:tc>
      </w:tr>
    </w:tbl>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集团采用母子公司架构，核心子公司包括赛特环球机械（青岛）有限公司（纺纱智能装备）、青岛环球重工科技有限公司（工程装备模具）、青岛普天智能制造股份有限公司（精密金属部件）等，形成多产业协同。</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1966年建厂（原为十几人农具小厂）；1986年涉足纺织机械；1988年制造出中国第一台悬锭粗纱机；2000年研发中国第一台电脑粗纱机；2010年研制成功国内唯一拥有自主知识产权的全自动落纱粗纱机粗细联系统，打破国外垄断；2017年粗纱机被工信部认定为单项冠军（产销量全球第一）。近三年研发投入年均增长超15%，累计获国家级专利500余项。</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战略定位为以纺纱装备为核心的综合性智能装备制造企业、青岛市智能制造装备产业链链主。主营业务涵盖：纺纱装备（粗纱机、粗细联、筒纱智能包装物流系统）、盾构管片及风电混塔模具等重工装备、商用车零部件及液氮生物存储装备、智能仓储物流装备等。</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w:t>
      </w:r>
    </w:p>
    <w:p>
      <w:pPr>
        <w:spacing w:lineRule="exact" w:line="600" w:before="0" w:after="0"/>
        <w:ind w:firstLine="420"/>
        <w:jc w:val="both"/>
      </w:pPr>
      <w:r>
        <w:rPr>
          <w:rFonts w:ascii="仿宋_GB2312" w:hAnsi="仿宋_GB2312" w:eastAsia="仿宋_GB2312"/>
          <w:b w:val="0"/>
          <w:color w:val="000000"/>
          <w:sz w:val="32"/>
        </w:rPr>
        <w:t>业务由纺纱智能装备（粗纱机/粗细联/筒纱物流）、重工模具装备（盾构管片/风电混塔）、智能仓储物流、汽车配件与生物液氮罐等多板块构成，纺机与重工为两大支柱。</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HCP2025智能粗纱机（全球首创、最长480锭）、全自动落纱粗细联系统、筒纱智能包装物流系统（HTBW，自主知识产权，服务魏桥、天虹、百隆等）、AGV/立体仓储装备、盾构管片模具及智能产线（国内市占率60%，服务40余地铁项目）、风电混塔模具、AI驱动的智能生物液氮储运系统。</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纺机客户为国内外纺织企业（安徽华茂、无锡一棉、魏桥创业、天虹、百隆等）；重工模具客户为地铁、风电等基建与新能源企业；生物液氮客户为生物医药领域。客户层次高、黏性强。</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涉及钢材、机床、电控、液压等采购，依托西海岸装备产业链配套；遵循规范采购管理。</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拥有国家企业技术中心、国家认可实验室；在新区峄山路以北建设9.8万㎡数智化新厂区（绿色建筑构件装备）。粗细联系统产能全球第一、全球市占率30%、国内超60%，是全球最大粗细联系统生产基地。</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以面向行业头部企业的直销与 solution 交付为主，产品远销海外，并借"一带一路"拓展市场。</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公开披露：员工2000余人，集团"产值几十亿"；粗纱机产销量全球第一、全球市占率30%、国内超60%；粗细联系统全球最大生产基地、市占率世界第一；盾构管片模具国内市占率60%。具体营收数据未公开。</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青岛环球集团股份有限公司为非上市民营企业集团，未公开披露经审计年度财务报表，未公开营收、净利润、资产负债率等完整指标。以下列示可获信息。</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803"/>
          </w:tcPr>
          <w:p>
            <w:pPr>
              <w:spacing w:lineRule="exact" w:line="600"/>
              <w:jc w:val="center"/>
            </w:pPr>
            <w:r/>
            <w:r>
              <w:rPr>
                <w:rFonts w:ascii="黑体" w:hAnsi="黑体" w:eastAsia="黑体"/>
                <w:b/>
                <w:color w:val="000000"/>
                <w:sz w:val="32"/>
              </w:rPr>
              <w:t>可获信息</w:t>
            </w:r>
          </w:p>
        </w:tc>
      </w:tr>
      <w:tr>
        <w:tc>
          <w:tcPr>
            <w:tcW w:type="dxa" w:w="2551"/>
          </w:tcPr>
          <w:p>
            <w:pPr>
              <w:spacing w:lineRule="exact" w:line="600"/>
              <w:jc w:val="center"/>
            </w:pPr>
            <w:r/>
            <w:r>
              <w:rPr>
                <w:rFonts w:ascii="仿宋_GB2312" w:hAnsi="仿宋_GB2312" w:eastAsia="仿宋_GB2312"/>
                <w:b w:val="0"/>
                <w:color w:val="000000"/>
                <w:sz w:val="32"/>
              </w:rPr>
              <w:t>员工规模</w:t>
            </w:r>
          </w:p>
        </w:tc>
        <w:tc>
          <w:tcPr>
            <w:tcW w:type="dxa" w:w="6803"/>
          </w:tcPr>
          <w:p>
            <w:pPr>
              <w:spacing w:lineRule="exact" w:line="600"/>
              <w:jc w:val="center"/>
            </w:pPr>
            <w:r/>
            <w:r>
              <w:rPr>
                <w:rFonts w:ascii="仿宋_GB2312" w:hAnsi="仿宋_GB2312" w:eastAsia="仿宋_GB2312"/>
                <w:b w:val="0"/>
                <w:color w:val="000000"/>
                <w:sz w:val="32"/>
              </w:rPr>
              <w:t>2000余人</w:t>
            </w:r>
          </w:p>
        </w:tc>
      </w:tr>
      <w:tr>
        <w:tc>
          <w:tcPr>
            <w:tcW w:type="dxa" w:w="2551"/>
          </w:tcPr>
          <w:p>
            <w:pPr>
              <w:spacing w:lineRule="exact" w:line="600"/>
              <w:jc w:val="center"/>
            </w:pPr>
            <w:r/>
            <w:r>
              <w:rPr>
                <w:rFonts w:ascii="仿宋_GB2312" w:hAnsi="仿宋_GB2312" w:eastAsia="仿宋_GB2312"/>
                <w:b w:val="0"/>
                <w:color w:val="000000"/>
                <w:sz w:val="32"/>
              </w:rPr>
              <w:t>产值</w:t>
            </w:r>
          </w:p>
        </w:tc>
        <w:tc>
          <w:tcPr>
            <w:tcW w:type="dxa" w:w="6803"/>
          </w:tcPr>
          <w:p>
            <w:pPr>
              <w:spacing w:lineRule="exact" w:line="600"/>
              <w:jc w:val="center"/>
            </w:pPr>
            <w:r/>
            <w:r>
              <w:rPr>
                <w:rFonts w:ascii="仿宋_GB2312" w:hAnsi="仿宋_GB2312" w:eastAsia="仿宋_GB2312"/>
                <w:b w:val="0"/>
                <w:color w:val="000000"/>
                <w:sz w:val="32"/>
              </w:rPr>
              <w:t>公开报道"产值几十亿"</w:t>
            </w:r>
          </w:p>
        </w:tc>
      </w:tr>
      <w:tr>
        <w:tc>
          <w:tcPr>
            <w:tcW w:type="dxa" w:w="2551"/>
          </w:tcPr>
          <w:p>
            <w:pPr>
              <w:spacing w:lineRule="exact" w:line="600"/>
              <w:jc w:val="center"/>
            </w:pPr>
            <w:r/>
            <w:r>
              <w:rPr>
                <w:rFonts w:ascii="仿宋_GB2312" w:hAnsi="仿宋_GB2312" w:eastAsia="仿宋_GB2312"/>
                <w:b w:val="0"/>
                <w:color w:val="000000"/>
                <w:sz w:val="32"/>
              </w:rPr>
              <w:t>市占率</w:t>
            </w:r>
          </w:p>
        </w:tc>
        <w:tc>
          <w:tcPr>
            <w:tcW w:type="dxa" w:w="6803"/>
          </w:tcPr>
          <w:p>
            <w:pPr>
              <w:spacing w:lineRule="exact" w:line="600"/>
              <w:jc w:val="center"/>
            </w:pPr>
            <w:r/>
            <w:r>
              <w:rPr>
                <w:rFonts w:ascii="仿宋_GB2312" w:hAnsi="仿宋_GB2312" w:eastAsia="仿宋_GB2312"/>
                <w:b w:val="0"/>
                <w:color w:val="000000"/>
                <w:sz w:val="32"/>
              </w:rPr>
              <w:t>粗纱机全球30%/国内60%+；粗细联世界第一</w:t>
            </w:r>
          </w:p>
        </w:tc>
      </w:tr>
      <w:tr>
        <w:tc>
          <w:tcPr>
            <w:tcW w:type="dxa" w:w="2551"/>
          </w:tcPr>
          <w:p>
            <w:pPr>
              <w:spacing w:lineRule="exact" w:line="600"/>
              <w:jc w:val="center"/>
            </w:pPr>
            <w:r/>
            <w:r>
              <w:rPr>
                <w:rFonts w:ascii="仿宋_GB2312" w:hAnsi="仿宋_GB2312" w:eastAsia="仿宋_GB2312"/>
                <w:b w:val="0"/>
                <w:color w:val="000000"/>
                <w:sz w:val="32"/>
              </w:rPr>
              <w:t>审计财报</w:t>
            </w:r>
          </w:p>
        </w:tc>
        <w:tc>
          <w:tcPr>
            <w:tcW w:type="dxa" w:w="6803"/>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作为多项"全球第一"产品的制造商，附加值与技术壁垒较高，盈利基本面良好；具体毛利率、净利率未公开。</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拥有国家企业技术中心、国家认可实验室及9.8万㎡数智化新厂区，固定资产与技术资产雄厚。</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财务未公开；民营集团，预计以经营性负债与自有资本为主。</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具体经营现金流未公开；装备与工程业务回款周期需关注。</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在青岛西海岸纺织机械集群中，环球以粗纱机/粗细联/筒纱物流见长，与东佳（梳理）、海佳（织机）形成"前纺—织造—物流"完整产业链互补。</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民营集团化治理，设董事会与管理层，决策高效。</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管理层具近60年装备制造企业传承，推行"学习、创新、争先锋"核心价值；赛特环球销售公司总经理郭加阳等为核心经营骨干。</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拥有国家企业技术中心与国家认可实验室，研发与质量体系规范；全员创新机制（年孵化千余项改进提案）。</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员工2000余人，研发与制造人才密集；构建分级创新平台与即时奖励机制，一线工匠与工程师为创新主力。</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产品全球领先：粗纱机、粗细联系统产销量全球第一，多项"世界首创"技术。</w:t>
      </w:r>
    </w:p>
    <w:p>
      <w:pPr>
        <w:spacing w:lineRule="exact" w:line="600" w:before="0" w:after="0"/>
        <w:ind w:firstLine="420"/>
        <w:jc w:val="both"/>
      </w:pPr>
      <w:r>
        <w:rPr>
          <w:rFonts w:ascii="仿宋_GB2312" w:hAnsi="仿宋_GB2312" w:eastAsia="仿宋_GB2312"/>
          <w:b w:val="0"/>
          <w:color w:val="000000"/>
          <w:sz w:val="32"/>
        </w:rPr>
        <w:t>技术与资质：国家企业技术中心、国家认可实验室、500余项专利、国家级"小巨人"子公司。</w:t>
      </w:r>
    </w:p>
    <w:p>
      <w:pPr>
        <w:spacing w:lineRule="exact" w:line="600" w:before="0" w:after="0"/>
        <w:ind w:firstLine="420"/>
        <w:jc w:val="both"/>
      </w:pPr>
      <w:r>
        <w:rPr>
          <w:rFonts w:ascii="仿宋_GB2312" w:hAnsi="仿宋_GB2312" w:eastAsia="仿宋_GB2312"/>
          <w:b w:val="0"/>
          <w:color w:val="000000"/>
          <w:sz w:val="32"/>
        </w:rPr>
        <w:t>产业链协同：纺机—重工—仓储—生物多板块协同，抗周期能力强。</w:t>
      </w:r>
    </w:p>
    <w:p>
      <w:pPr>
        <w:spacing w:lineRule="exact" w:line="600" w:before="0" w:after="0"/>
        <w:ind w:firstLine="420"/>
        <w:jc w:val="both"/>
      </w:pPr>
      <w:r>
        <w:rPr>
          <w:rFonts w:ascii="仿宋_GB2312" w:hAnsi="仿宋_GB2312" w:eastAsia="仿宋_GB2312"/>
          <w:b w:val="0"/>
          <w:color w:val="000000"/>
          <w:sz w:val="32"/>
        </w:rPr>
        <w:t>链主地位：青岛市智能制造装备产业链链主，资源与政策优势突出。</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纺织机械受纺织行业周期影响；重工模具受基建与新能源投资节奏影响。</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多板块扩张对管理与资金协同要求高；原材料与汇率波动影响。</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财务未公开审计；集团化运营需关注内部资金与债务管理。</w:t>
      </w:r>
    </w:p>
    <w:p>
      <w:pPr>
        <w:spacing w:lineRule="exact" w:line="600" w:before="120" w:after="120"/>
        <w:ind w:firstLine="420"/>
        <w:jc w:val="left"/>
      </w:pPr>
      <w:r>
        <w:rPr>
          <w:rFonts w:ascii="楷体_GB2312" w:hAnsi="楷体_GB2312" w:eastAsia="楷体_GB2312"/>
          <w:b w:val="0"/>
          <w:color w:val="000000"/>
          <w:sz w:val="32"/>
        </w:rPr>
        <w:t>（四）合规风险</w:t>
      </w:r>
    </w:p>
    <w:p>
      <w:pPr>
        <w:spacing w:lineRule="exact" w:line="600" w:before="0" w:after="0"/>
        <w:ind w:firstLine="420"/>
        <w:jc w:val="both"/>
      </w:pPr>
      <w:r>
        <w:rPr>
          <w:rFonts w:ascii="仿宋_GB2312" w:hAnsi="仿宋_GB2312" w:eastAsia="仿宋_GB2312"/>
          <w:b w:val="0"/>
          <w:color w:val="000000"/>
          <w:sz w:val="32"/>
        </w:rPr>
        <w:t>装备质量、出口合规及安全生产监管要求严格。</w:t>
      </w:r>
    </w:p>
    <w:p>
      <w:pPr>
        <w:spacing w:lineRule="exact" w:line="600" w:before="120" w:after="120"/>
        <w:ind w:firstLine="420"/>
        <w:jc w:val="left"/>
      </w:pPr>
      <w:r>
        <w:rPr>
          <w:rFonts w:ascii="楷体_GB2312" w:hAnsi="楷体_GB2312" w:eastAsia="楷体_GB2312"/>
          <w:b w:val="0"/>
          <w:color w:val="000000"/>
          <w:sz w:val="32"/>
        </w:rPr>
        <w:t>（五）应对措施</w:t>
      </w:r>
    </w:p>
    <w:p>
      <w:pPr>
        <w:spacing w:lineRule="exact" w:line="600" w:before="0" w:after="0"/>
        <w:ind w:firstLine="420"/>
        <w:jc w:val="both"/>
      </w:pPr>
      <w:r>
        <w:rPr>
          <w:rFonts w:ascii="仿宋_GB2312" w:hAnsi="仿宋_GB2312" w:eastAsia="仿宋_GB2312"/>
          <w:b w:val="0"/>
          <w:color w:val="000000"/>
          <w:sz w:val="32"/>
        </w:rPr>
        <w:t>坚持数智化与绿色化转型；聚焦核心技术自主可控；强化质量与合规体系；稳健推进多产业发展。</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保理业务：面向纺织与基建客户的应收账款可开展保理。</w:t>
      </w:r>
    </w:p>
    <w:p>
      <w:pPr>
        <w:spacing w:lineRule="exact" w:line="600" w:before="0" w:after="0"/>
        <w:ind w:firstLine="420"/>
        <w:jc w:val="both"/>
      </w:pPr>
      <w:r>
        <w:rPr>
          <w:rFonts w:ascii="仿宋_GB2312" w:hAnsi="仿宋_GB2312" w:eastAsia="仿宋_GB2312"/>
          <w:b w:val="0"/>
          <w:color w:val="000000"/>
          <w:sz w:val="32"/>
        </w:rPr>
        <w:t>供应链金融：以环球为链主，为上游零部件、模具供应商提供供应链金融服务。</w:t>
      </w:r>
    </w:p>
    <w:p>
      <w:pPr>
        <w:spacing w:lineRule="exact" w:line="600" w:before="0" w:after="0"/>
        <w:ind w:firstLine="420"/>
        <w:jc w:val="both"/>
      </w:pPr>
      <w:r>
        <w:rPr>
          <w:rFonts w:ascii="仿宋_GB2312" w:hAnsi="仿宋_GB2312" w:eastAsia="仿宋_GB2312"/>
          <w:b w:val="0"/>
          <w:color w:val="000000"/>
          <w:sz w:val="32"/>
        </w:rPr>
        <w:t>融资租赁：智能产线、数控设备、新厂区设备可通过融资租赁获取。</w:t>
      </w:r>
    </w:p>
    <w:p>
      <w:pPr>
        <w:spacing w:lineRule="exact" w:line="600" w:before="0" w:after="0"/>
        <w:ind w:firstLine="420"/>
        <w:jc w:val="both"/>
      </w:pPr>
      <w:r>
        <w:rPr>
          <w:rFonts w:ascii="仿宋_GB2312" w:hAnsi="仿宋_GB2312" w:eastAsia="仿宋_GB2312"/>
          <w:b w:val="0"/>
          <w:color w:val="000000"/>
          <w:sz w:val="32"/>
        </w:rPr>
        <w:t>小额贷款：为上游小微配套商提供周转小贷。</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综合评价：青岛环球集团是西海岸新区纺织机械与智能装备集群的链主型企业，粗纱机/粗细联等产品全球领先、技术实力雄厚、多产业协同，综合实力在区域装备制造业中位居前列。</w:t>
      </w:r>
    </w:p>
    <w:p>
      <w:pPr>
        <w:spacing w:lineRule="exact" w:line="600" w:before="0" w:after="0"/>
        <w:ind w:firstLine="420"/>
        <w:jc w:val="both"/>
      </w:pPr>
      <w:r>
        <w:rPr>
          <w:rFonts w:ascii="仿宋_GB2312" w:hAnsi="仿宋_GB2312" w:eastAsia="仿宋_GB2312"/>
          <w:b w:val="0"/>
          <w:color w:val="000000"/>
          <w:sz w:val="32"/>
        </w:rPr>
        <w:t>发展展望：数智化新厂区与绿色构件装备、AI生物液氮等新业务有望打开增长空间；"中国标准"赋能全球智造战略清晰。</w:t>
      </w:r>
    </w:p>
    <w:p>
      <w:pPr>
        <w:spacing w:lineRule="exact" w:line="600" w:before="0" w:after="0"/>
        <w:ind w:firstLine="420"/>
        <w:jc w:val="both"/>
      </w:pPr>
      <w:r>
        <w:rPr>
          <w:rFonts w:ascii="仿宋_GB2312" w:hAnsi="仿宋_GB2312" w:eastAsia="仿宋_GB2312"/>
          <w:b w:val="0"/>
          <w:color w:val="000000"/>
          <w:sz w:val="32"/>
        </w:rPr>
        <w:t>挑战：多板块管理复杂度、行业周期、财务透明度。</w:t>
      </w:r>
    </w:p>
    <w:p>
      <w:pPr>
        <w:spacing w:lineRule="exact" w:line="600" w:before="0" w:after="0"/>
        <w:ind w:firstLine="420"/>
        <w:jc w:val="both"/>
      </w:pPr>
      <w:r>
        <w:rPr>
          <w:rFonts w:ascii="仿宋_GB2312" w:hAnsi="仿宋_GB2312" w:eastAsia="仿宋_GB2312"/>
          <w:b w:val="0"/>
          <w:color w:val="000000"/>
          <w:sz w:val="32"/>
        </w:rPr>
        <w:t>建议：一是规范集团财务披露；二是聚焦核心装备技术升级；三是深化与山东投资在融资租赁、供应链金融及产业基金领域的协同。</w:t>
      </w:r>
    </w:p>
    <w:p>
      <w:pPr>
        <w:spacing w:lineRule="exact" w:line="600" w:before="0" w:after="0"/>
        <w:jc w:val="left"/>
      </w:pPr>
      <w:r>
        <w:rPr>
          <w:rFonts w:ascii="仿宋_GB2312" w:hAnsi="仿宋_GB2312" w:eastAsia="仿宋_GB2312"/>
          <w:b w:val="0"/>
          <w:color w:val="000000"/>
          <w:sz w:val="28"/>
        </w:rPr>
        <w:t>数据来源说明：本报告数据来源于企业官网（hicorp.cn）、腾讯新闻、中国纱线网（chinayarn.com）、青岛媒体报道等公开渠道。财务数据为非审计公开口径，已标注来源。</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