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山东青岛（轨道交通）特色产业集群</w:t>
      </w:r>
    </w:p>
    <w:p>
      <w:pPr>
        <w:spacing w:lineRule="exact" w:line="600" w:before="240" w:after="240"/>
        <w:ind w:firstLine="0"/>
        <w:jc w:val="center"/>
      </w:pPr>
      <w:r>
        <w:rPr>
          <w:rFonts w:ascii="方正小标宋简体" w:hAnsi="方正小标宋简体" w:eastAsia="方正小标宋简体"/>
          <w:b w:val="0"/>
          <w:color w:val="000000"/>
          <w:sz w:val="44"/>
        </w:rPr>
        <w:t>中车青岛四方机车车辆股份有限公司企业分析报告</w:t>
      </w:r>
    </w:p>
    <w:p>
      <w:pPr>
        <w:spacing w:lineRule="exact" w:line="600" w:before="0" w:after="0"/>
        <w:jc w:val="left"/>
      </w:pPr>
      <w:r>
        <w:rPr>
          <w:rFonts w:ascii="仿宋_GB2312" w:hAnsi="仿宋_GB2312" w:eastAsia="仿宋_GB2312"/>
          <w:b w:val="0"/>
          <w:color w:val="000000"/>
          <w:sz w:val="28"/>
        </w:rPr>
        <w:t>（本报告数据来源于公司官网（crrcgc.cc/sfgf）、中国中车股份有限公司（601766.SH）公开信息、天眼查/万得企业库/百度百科工商信息及公开媒体报道。公司为非上市央企子公司，单体经审计财务数据未公开披露，已如实标注，合并口径数据纳入中国中车年度报告。）</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中车青岛四方机车车辆股份有限公司（简称“中车四方股份公司”“中车四方”）现体制成立于2002年7月22日，其前身可追溯至1900年德国始建的四方机车车辆厂（四方机厂），是享有百余年历史的轨道交通装备骨干企业。公司法定代表人为马利军（总经理），董事长为田学华，统一社会信用代码91370200740365750X，注册资本714,197.84万元（约71.42亿元，已全额实缴），企业类型为其他股份有限公司（非上市），所属行业为铁路运输设备制造业（高铁车组制造）。注册地址为山东省青岛市城阳区锦宏东路88号（棘洪滩街道，青岛轨道交通产业示范区），登记机关为青岛市市场监督管理局，经营状态存续。</w:t>
      </w:r>
    </w:p>
    <w:p>
      <w:pPr>
        <w:spacing w:lineRule="exact" w:line="600" w:before="0" w:after="0"/>
        <w:ind w:firstLine="420"/>
        <w:jc w:val="both"/>
      </w:pPr>
      <w:r>
        <w:rPr>
          <w:rFonts w:ascii="仿宋_GB2312" w:hAnsi="仿宋_GB2312" w:eastAsia="仿宋_GB2312"/>
          <w:b w:val="0"/>
          <w:color w:val="000000"/>
          <w:sz w:val="32"/>
        </w:rPr>
        <w:t>公司经营范围涵盖：铁路机车、客车、动车组、城市轨道交通设备的设计、制造、修理、销售、租赁；相关配件制造与销售；机车车辆技术服务；机械加工、铆焊加工、热处理、计量检定测试；以及货物与技术的进出口业务等。作为国有特大型一级企业，公司是国内研发与制造轨道交通车辆产品种类最齐全的企业之一，是国家高速动车组试验基地、国家企业技术中心依托单位。</w:t>
      </w:r>
    </w:p>
    <w:p>
      <w:pPr>
        <w:spacing w:lineRule="exact" w:line="600" w:before="0" w:after="0"/>
        <w:ind w:firstLine="420"/>
        <w:jc w:val="both"/>
      </w:pPr>
      <w:r>
        <w:rPr>
          <w:rFonts w:ascii="仿宋_GB2312" w:hAnsi="仿宋_GB2312" w:eastAsia="仿宋_GB2312"/>
          <w:b w:val="0"/>
          <w:color w:val="000000"/>
          <w:sz w:val="32"/>
        </w:rPr>
        <w:t>股权结构方面，公司为中国中车股份有限公司（601766.SH）全资子公司，最终实际控制人为国务院国有资产监督管理委员会。国资层级为：国务院国资委→中国中车集团有限公司→中国中车股份有限公司→中车青岛四方机车车辆股份有限公司（央企三级子公司）。公司曾用名“南车四方机车车辆股份有限公司”，2015年中国南车、北车合并为中国中车后更为现名。</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下设棘洪滩、四方两大生产基地，并拥有中车广东轨道交通车辆、中车佛山四方轨道车辆、青岛四方客车修理、青岛四方铁路运输设备装配等40余家下属单位（含全资/控股）。研发体系依托国家高速动车组试验基地与国家企业技术中心，设置总体、转向架、车体、牵引、网络、制动等专业研发部门，形成“研发—制造—检修—服务”一体化架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1900年，四方机厂由德资始建；新中国成立后成为铁道部直属骨干企业。2002年改制为股份有限公司；2015年随南北车合并纳入中国中车体系。公司先后研制了“和谐号”CRH系列动车组、“复兴号”中国标准动车组、城际（市域）动车组、地铁列车等，并承担青藏铁路、京沪高铁等国家重大工程装备研制（相关工程获国家科技进步特等奖）。2024年发布首列氢能源智能城际动车组CINOVA H2；2025年研制全球首列碳纤维地铁列车并实现商业运营，首列中国标准智能市域列车亮相；产品出口20多个国家和地区（如雅万高铁、中老铁路“澜沧号”等）。</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公司战略定位为“中国高铁 风行四方”，是轨道交通整车制造龙头，专注高速动车组、城际/市域动车组、铁路客车及城轨车辆的研发、制造、检修与服务。核心产品包括：复兴号/和谐号动车组、城际（市域）动车组、地铁车辆、氢能源智能城际动车组及碳纤维列车等，是国内CRH系列动车组核心研制基地。</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动车组与城轨车辆新造为主，辅以检修服务和配件销售。由于单体财报未公开披露，各业务板块收入占比无公开权威数据。整体看，高速动车组与城轨车辆新造构成收入主体，检修与维保服务随运营里程增长而提升。</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1. 高速动车组：复兴号（动力分散型）、和谐号CRH系列，覆盖时速200—350公里等级，是公司核心拳头产品。2. 城际/市域动车组：CINOVA系列、中国标准智能市域列车。3. 铁路客车：传统客车及特种客车。4. 城轨车辆：地铁列车、碳纤维地铁列车（CETROVO 1.0碳星快轨）。5. 检修与配件服务：动车组各级检修、配件供应。6. 新动力：氢能源智能城际动车组、智能高铁等。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主要客户为国铁集团及各地铁公司（如青岛地铁、北京地铁等），并面向海外铁路运营商（雅万高铁、中老铁路、海外20余国）。客户集中度较高，以国内铁路与城轨业主为主，订单受国家铁路投资与城轨规划节奏影响。</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材料与部件包括钢材、铝合金型材、牵引与制动系统部件、车轮车轴、电气与网络设备等。公司具备强大的供应链带动能力，在青岛轨道交通产业示范区内形成配套集群，上游大量本地配套企业（如本报告其他集群企业）为其供货。</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公司拥有棘洪滩、四方两大制造基地及国家高速动车组试验基地，具备年新造千列级动车组/城轨车辆的产能，并持有铁路机车车辆制造相关资质与质量体系认证（IRIS等）。 chassis/转向架、车体等核心工艺自主可控。</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以“业主招标+定制化研制”模式销售，国内依托国铁与城轨业主直采，海外通过中国中车统一出海平台及自主拓展承接“一带一路”项目（雅万高铁、中老铁路等）。</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资料，公司2025年营业收入约453.77亿元，员工超过6,500人，是中国中车体系内规模最大的动车组研制基地之一。在高速动车组领域，公司与中车长客、中车唐车等共同占据国内主导地位；在海外市场，复兴号/CRH及出口动车组具备较强竞争力。具体细分市场占有率数据未单独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中车青岛四方机车车辆股份有限公司为非上市股份有限公司，单体经审计的近三年财务报告未公开披露，相关财务数据并入中国中车股份有限公司（601766.SH）年度报告合并报表。以下为公开渠道可得的经营概况（非经审计单体数据）：</w:t>
      </w:r>
    </w:p>
    <w:tbl>
      <w:tblPr>
        <w:tblStyle w:val="TableGrid"/>
        <w:tblW w:type="auto" w:w="0"/>
        <w:jc w:val="center"/>
        <w:tblLook w:firstColumn="1" w:firstRow="1" w:lastColumn="0" w:lastRow="0" w:noHBand="0" w:noVBand="1" w:val="04A0"/>
      </w:tblPr>
      <w:tblGrid>
        <w:gridCol w:w="2948"/>
        <w:gridCol w:w="2948"/>
        <w:gridCol w:w="2948"/>
      </w:tblGrid>
      <w:tr>
        <w:tc>
          <w:tcPr>
            <w:tcW w:type="dxa" w:w="2608"/>
          </w:tcPr>
          <w:p>
            <w:pPr>
              <w:spacing w:lineRule="exact" w:line="600"/>
              <w:jc w:val="center"/>
            </w:pPr>
            <w:r/>
            <w:r>
              <w:rPr>
                <w:rFonts w:ascii="黑体" w:hAnsi="黑体" w:eastAsia="黑体"/>
                <w:b/>
                <w:color w:val="000000"/>
                <w:sz w:val="32"/>
              </w:rPr>
              <w:t>指标</w:t>
            </w:r>
          </w:p>
        </w:tc>
        <w:tc>
          <w:tcPr>
            <w:tcW w:type="dxa" w:w="2948"/>
          </w:tcPr>
          <w:p>
            <w:pPr>
              <w:spacing w:lineRule="exact" w:line="600"/>
              <w:jc w:val="center"/>
            </w:pPr>
            <w:r/>
            <w:r>
              <w:rPr>
                <w:rFonts w:ascii="黑体" w:hAnsi="黑体" w:eastAsia="黑体"/>
                <w:b/>
                <w:color w:val="000000"/>
                <w:sz w:val="32"/>
              </w:rPr>
              <w:t>可得数据</w:t>
            </w:r>
          </w:p>
        </w:tc>
        <w:tc>
          <w:tcPr>
            <w:tcW w:type="dxa" w:w="3175"/>
          </w:tcPr>
          <w:p>
            <w:pPr>
              <w:spacing w:lineRule="exact" w:line="600"/>
              <w:jc w:val="center"/>
            </w:pPr>
            <w:r/>
            <w:r>
              <w:rPr>
                <w:rFonts w:ascii="黑体" w:hAnsi="黑体" w:eastAsia="黑体"/>
                <w:b/>
                <w:color w:val="000000"/>
                <w:sz w:val="32"/>
              </w:rPr>
              <w:t>说明</w:t>
            </w:r>
          </w:p>
        </w:tc>
      </w:tr>
      <w:tr>
        <w:tc>
          <w:tcPr>
            <w:tcW w:type="dxa" w:w="2608"/>
          </w:tcPr>
          <w:p>
            <w:pPr>
              <w:spacing w:lineRule="exact" w:line="600"/>
              <w:jc w:val="center"/>
            </w:pPr>
            <w:r/>
            <w:r>
              <w:rPr>
                <w:rFonts w:ascii="仿宋_GB2312" w:hAnsi="仿宋_GB2312" w:eastAsia="仿宋_GB2312"/>
                <w:b w:val="0"/>
                <w:color w:val="000000"/>
                <w:sz w:val="32"/>
              </w:rPr>
              <w:t>注册资本</w:t>
            </w:r>
          </w:p>
        </w:tc>
        <w:tc>
          <w:tcPr>
            <w:tcW w:type="dxa" w:w="2948"/>
          </w:tcPr>
          <w:p>
            <w:pPr>
              <w:spacing w:lineRule="exact" w:line="600"/>
              <w:jc w:val="center"/>
            </w:pPr>
            <w:r/>
            <w:r>
              <w:rPr>
                <w:rFonts w:ascii="仿宋_GB2312" w:hAnsi="仿宋_GB2312" w:eastAsia="仿宋_GB2312"/>
                <w:b w:val="0"/>
                <w:color w:val="000000"/>
                <w:sz w:val="32"/>
              </w:rPr>
              <w:t>71.42亿元</w:t>
            </w:r>
          </w:p>
        </w:tc>
        <w:tc>
          <w:tcPr>
            <w:tcW w:type="dxa" w:w="3175"/>
          </w:tcPr>
          <w:p>
            <w:pPr>
              <w:spacing w:lineRule="exact" w:line="600"/>
              <w:jc w:val="center"/>
            </w:pPr>
            <w:r/>
            <w:r>
              <w:rPr>
                <w:rFonts w:ascii="仿宋_GB2312" w:hAnsi="仿宋_GB2312" w:eastAsia="仿宋_GB2312"/>
                <w:b w:val="0"/>
                <w:color w:val="000000"/>
                <w:sz w:val="32"/>
              </w:rPr>
              <w:t>工商登记（已实缴）</w:t>
            </w:r>
          </w:p>
        </w:tc>
      </w:tr>
      <w:tr>
        <w:tc>
          <w:tcPr>
            <w:tcW w:type="dxa" w:w="2608"/>
          </w:tcPr>
          <w:p>
            <w:pPr>
              <w:spacing w:lineRule="exact" w:line="600"/>
              <w:jc w:val="center"/>
            </w:pPr>
            <w:r/>
            <w:r>
              <w:rPr>
                <w:rFonts w:ascii="仿宋_GB2312" w:hAnsi="仿宋_GB2312" w:eastAsia="仿宋_GB2312"/>
                <w:b w:val="0"/>
                <w:color w:val="000000"/>
                <w:sz w:val="32"/>
              </w:rPr>
              <w:t>2025年营业收入</w:t>
            </w:r>
          </w:p>
        </w:tc>
        <w:tc>
          <w:tcPr>
            <w:tcW w:type="dxa" w:w="2948"/>
          </w:tcPr>
          <w:p>
            <w:pPr>
              <w:spacing w:lineRule="exact" w:line="600"/>
              <w:jc w:val="center"/>
            </w:pPr>
            <w:r/>
            <w:r>
              <w:rPr>
                <w:rFonts w:ascii="仿宋_GB2312" w:hAnsi="仿宋_GB2312" w:eastAsia="仿宋_GB2312"/>
                <w:b w:val="0"/>
                <w:color w:val="000000"/>
                <w:sz w:val="32"/>
              </w:rPr>
              <w:t>约453.77亿元</w:t>
            </w:r>
          </w:p>
        </w:tc>
        <w:tc>
          <w:tcPr>
            <w:tcW w:type="dxa" w:w="3175"/>
          </w:tcPr>
          <w:p>
            <w:pPr>
              <w:spacing w:lineRule="exact" w:line="600"/>
              <w:jc w:val="center"/>
            </w:pPr>
            <w:r/>
            <w:r>
              <w:rPr>
                <w:rFonts w:ascii="仿宋_GB2312" w:hAnsi="仿宋_GB2312" w:eastAsia="仿宋_GB2312"/>
                <w:b w:val="0"/>
                <w:color w:val="000000"/>
                <w:sz w:val="32"/>
              </w:rPr>
              <w:t>公开资料（非审计单体）</w:t>
            </w:r>
          </w:p>
        </w:tc>
      </w:tr>
      <w:tr>
        <w:tc>
          <w:tcPr>
            <w:tcW w:type="dxa" w:w="2608"/>
          </w:tcPr>
          <w:p>
            <w:pPr>
              <w:spacing w:lineRule="exact" w:line="600"/>
              <w:jc w:val="center"/>
            </w:pPr>
            <w:r/>
            <w:r>
              <w:rPr>
                <w:rFonts w:ascii="仿宋_GB2312" w:hAnsi="仿宋_GB2312" w:eastAsia="仿宋_GB2312"/>
                <w:b w:val="0"/>
                <w:color w:val="000000"/>
                <w:sz w:val="32"/>
              </w:rPr>
              <w:t>员工人数</w:t>
            </w:r>
          </w:p>
        </w:tc>
        <w:tc>
          <w:tcPr>
            <w:tcW w:type="dxa" w:w="2948"/>
          </w:tcPr>
          <w:p>
            <w:pPr>
              <w:spacing w:lineRule="exact" w:line="600"/>
              <w:jc w:val="center"/>
            </w:pPr>
            <w:r/>
            <w:r>
              <w:rPr>
                <w:rFonts w:ascii="仿宋_GB2312" w:hAnsi="仿宋_GB2312" w:eastAsia="仿宋_GB2312"/>
                <w:b w:val="0"/>
                <w:color w:val="000000"/>
                <w:sz w:val="32"/>
              </w:rPr>
              <w:t>超过6,500人</w:t>
            </w:r>
          </w:p>
        </w:tc>
        <w:tc>
          <w:tcPr>
            <w:tcW w:type="dxa" w:w="3175"/>
          </w:tcPr>
          <w:p>
            <w:pPr>
              <w:spacing w:lineRule="exact" w:line="600"/>
              <w:jc w:val="center"/>
            </w:pPr>
            <w:r/>
            <w:r>
              <w:rPr>
                <w:rFonts w:ascii="仿宋_GB2312" w:hAnsi="仿宋_GB2312" w:eastAsia="仿宋_GB2312"/>
                <w:b w:val="0"/>
                <w:color w:val="000000"/>
                <w:sz w:val="32"/>
              </w:rPr>
              <w:t>公开资料</w:t>
            </w:r>
          </w:p>
        </w:tc>
      </w:tr>
      <w:tr>
        <w:tc>
          <w:tcPr>
            <w:tcW w:type="dxa" w:w="2608"/>
          </w:tcPr>
          <w:p>
            <w:pPr>
              <w:spacing w:lineRule="exact" w:line="600"/>
              <w:jc w:val="center"/>
            </w:pPr>
            <w:r/>
            <w:r>
              <w:rPr>
                <w:rFonts w:ascii="仿宋_GB2312" w:hAnsi="仿宋_GB2312" w:eastAsia="仿宋_GB2312"/>
                <w:b w:val="0"/>
                <w:color w:val="000000"/>
                <w:sz w:val="32"/>
              </w:rPr>
              <w:t>资产负债率/毛利率/经营现金流</w:t>
            </w:r>
          </w:p>
        </w:tc>
        <w:tc>
          <w:tcPr>
            <w:tcW w:type="dxa" w:w="2948"/>
          </w:tcPr>
          <w:p>
            <w:pPr>
              <w:spacing w:lineRule="exact" w:line="600"/>
              <w:jc w:val="center"/>
            </w:pPr>
            <w:r/>
            <w:r>
              <w:rPr>
                <w:rFonts w:ascii="仿宋_GB2312" w:hAnsi="仿宋_GB2312" w:eastAsia="仿宋_GB2312"/>
                <w:b w:val="0"/>
                <w:color w:val="000000"/>
                <w:sz w:val="32"/>
              </w:rPr>
              <w:t>未单独披露</w:t>
            </w:r>
          </w:p>
        </w:tc>
        <w:tc>
          <w:tcPr>
            <w:tcW w:type="dxa" w:w="3175"/>
          </w:tcPr>
          <w:p>
            <w:pPr>
              <w:spacing w:lineRule="exact" w:line="600"/>
              <w:jc w:val="center"/>
            </w:pPr>
            <w:r/>
            <w:r>
              <w:rPr>
                <w:rFonts w:ascii="仿宋_GB2312" w:hAnsi="仿宋_GB2312" w:eastAsia="仿宋_GB2312"/>
                <w:b w:val="0"/>
                <w:color w:val="000000"/>
                <w:sz w:val="32"/>
              </w:rPr>
              <w:t>并入中国中车合并报表</w:t>
            </w:r>
          </w:p>
        </w:tc>
      </w:tr>
    </w:tbl>
    <w:p>
      <w:pPr>
        <w:spacing w:lineRule="exact" w:line="600" w:before="0" w:after="0"/>
        <w:ind w:firstLine="420"/>
        <w:jc w:val="both"/>
      </w:pPr>
      <w:r>
        <w:rPr>
          <w:rFonts w:ascii="仿宋_GB2312" w:hAnsi="仿宋_GB2312" w:eastAsia="仿宋_GB2312"/>
          <w:b w:val="0"/>
          <w:color w:val="000000"/>
          <w:sz w:val="32"/>
        </w:rPr>
        <w:t>注：如需单体详细财务指标，建议参阅中国中车年度报告分部信息或公司专项审计报告。</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单体盈利指标未公开披露。作为中国中车核心利润来源之一，公司盈利与动车组、城轨新造需求及检修业务高度相关，整体规模与制造能力居行业前列。</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公司资产以大型制造基地、专用装备与研发资产为主，质量优良；单体资产负债表未公开。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财务数据未单独披露。作为央企三级子公司，融资渠道畅通、信用资质优良，偿债风险低。</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财务数据未单独披露，现金流并入中国中车合并报表。轨道交通装备制造具有订单周期长、回款节点明确特征，整体现金流受重大合同交付节奏影响。</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与中车长客、中车唐车等同业相比，公司在动车组谱系完整性、出口业绩方面处于第一梯队；量化对标需借助合并报表分部数据。</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央企三级子公司，严格遵循国资监管与《中国共产党国有企业基层组织工作条例》，落实“三重一大”决策制度（重大事项决策、重要干部任免、重大项目投资决策、大额资金的使用），党委发挥把方向、管大局、保落实的领导作用，董事会/执行董事与经理层各司其职，治理体系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董事长、党委书记田学华；董事、总经理、法定代表人马利军。核心管理团队具备轨道交通装备研制与大型央企管理经验。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公司纳入中国中车统一的内控、合规与风险管理体系，严格执行国资监管、铁路装备质量（IRIS）与安全生产规范，并落实党建与“三重一大”事项集体决策。</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公司员工超过6,500人，拥有以高铁研制为核心的高技能人才与科研团队，屡获“全国劳动模范”“大国工匠”等荣誉，人才厚度构成长期竞争力。</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央企资源与品牌：中国中车核心子公司，品牌与信用优势突出。2. 技术与标准壁垒：国家高速动车组试验基地、国家企业技术中心，主导/参与多项国家标准与高速列车核心技术。3. 全谱系产品：覆盖高铁、城际、城轨、氢能源、碳纤维列车，产品种类最齐全。4. 产业链带动：在青岛形成千亿级轨道交通产业集群，配套完善。5. 出海业绩：雅万高铁、中老铁路等标杆项目塑造国际影响力。</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行业风险：铁路固定资产投资与城轨规划波动影响新造订单；海外业务受地缘政治与贸易壁垒（如欧盟反补贴调查）影响。2. 经营风险：客户高度集中（国铁/城轨业主），订单节奏波动。3. 财务风险：单体财务未公开，需关注重大合同履约与现金流管理。4. 合规风险：出口管制、海外合规与反腐要求趋严。应对措施：多元化产品（城轨、检修、新动力）、稳健出海、强化合规体系。</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公司资金实力雄厚、以集团内部融资为主，但与山东投资的协同可聚焦产业链金融：1. 供应链金融：为上游山东本土配套企业（零部件、型材、电气等）提供应收账款保理与订单融资，稳定产业链；2. 融资租赁：为产线智能化升级设备开展融资租赁；3. 保理：盘活对国铁/业主的应收账款；4. 小额贷款：支持产业链中小配套企业。亦可探讨山东投资参与青岛轨道交通产业示范区基金，支持本地配套企业成长。</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中车青岛四方机车车辆股份有限公司是青岛轨道交通集群的整车制造龙头、中国高铁“国家名片”的核心研制基地，技术实力、产业带动与出海业绩均居行业前列，央企背景赋予其强资源与信用优势。短板为单体财务透明度有限、订单受宏观投资节奏影响。</w:t>
      </w:r>
    </w:p>
    <w:p>
      <w:pPr>
        <w:spacing w:lineRule="exact" w:line="600" w:before="0" w:after="0"/>
        <w:ind w:firstLine="420"/>
        <w:jc w:val="both"/>
      </w:pPr>
      <w:r>
        <w:rPr>
          <w:rFonts w:ascii="仿宋_GB2312" w:hAnsi="仿宋_GB2312" w:eastAsia="仿宋_GB2312"/>
          <w:b w:val="0"/>
          <w:color w:val="000000"/>
          <w:sz w:val="32"/>
        </w:rPr>
        <w:t>发展展望：在“交通强国”“一带一路”与城轨智能化升级背景下，公司有望在动车组新造、检修服务及氢能源/碳纤维等新动力领域持续突破。建议：一是提升单体经营信息披露；二是借助山东投资等资本，以供应链金融与产业基金强化青岛本地配套生态，反哺集群竞争力。</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实际使用的数据来源包括：中车青岛四方机车车辆股份有限公司官网（crrcgc.cc/sfgf）；中国中车股份有限公司（601766.SH）公开信息；天眼查、万得企业库、百度百科工商与经营信息；维基百科（经营概况）；青岛轨道交通产业示范区公开报道。单体经审计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