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山东青岛（轨道交通）特色产业集群</w:t>
      </w:r>
    </w:p>
    <w:p>
      <w:pPr>
        <w:spacing w:lineRule="exact" w:line="600" w:before="240" w:after="240"/>
        <w:ind w:firstLine="0"/>
        <w:jc w:val="center"/>
      </w:pPr>
      <w:r>
        <w:rPr>
          <w:rFonts w:ascii="方正小标宋简体" w:hAnsi="方正小标宋简体" w:eastAsia="方正小标宋简体"/>
          <w:b w:val="0"/>
          <w:color w:val="000000"/>
          <w:sz w:val="44"/>
        </w:rPr>
        <w:t>中车青岛四方车辆研究所有限公司企业分析报告</w:t>
      </w:r>
    </w:p>
    <w:p>
      <w:pPr>
        <w:spacing w:lineRule="exact" w:line="600" w:before="0" w:after="0"/>
        <w:jc w:val="left"/>
      </w:pPr>
      <w:r>
        <w:rPr>
          <w:rFonts w:ascii="仿宋_GB2312" w:hAnsi="仿宋_GB2312" w:eastAsia="仿宋_GB2312"/>
          <w:b w:val="0"/>
          <w:color w:val="000000"/>
          <w:sz w:val="28"/>
        </w:rPr>
        <w:t>（本报告数据来源于公司官网（crrcgc.cc/sfs）、中国中车股份有限公司（601766.SH）公开信息、天眼查/企查查/青岛公共资源交易信息及公开媒体报道。公司为非上市央企子公司，单体经审计财务数据未公开披露，已如实标注，合并口径数据纳入中国中车年度报告。）</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中车青岛四方车辆研究所有限公司（简称“中车四方所”“四方所”）成立于1994年6月10日，其前身为1959年创建的铁道部四方车辆研究所，2000年由科研事业单位转制为企业，2007年改制为有限责任公司，2015年随南北车合并成为中国中车股份有限公司全资子公司。公司法定代表人为邢晓东，统一社会信用代码91370200264582788W，注册资本222,068.078万元（约22.21亿元，已实缴），企业类型为有限责任公司（非自然人投资或控股的法人独资），所属行业为铁路运输设备制造业（高铁车组制造）。注册地址为山东省青岛市市北区瑞昌路231号（一照多址），登记机关为青岛市市场监督管理局，经营状态存续。曾用名“青岛四方车辆研究所有限公司”。</w:t>
      </w:r>
    </w:p>
    <w:p>
      <w:pPr>
        <w:spacing w:lineRule="exact" w:line="600" w:before="0" w:after="0"/>
        <w:ind w:firstLine="420"/>
        <w:jc w:val="both"/>
      </w:pPr>
      <w:r>
        <w:rPr>
          <w:rFonts w:ascii="仿宋_GB2312" w:hAnsi="仿宋_GB2312" w:eastAsia="仿宋_GB2312"/>
          <w:b w:val="0"/>
          <w:color w:val="000000"/>
          <w:sz w:val="32"/>
        </w:rPr>
        <w:t>公司经营范围涵盖：铁路运输基础设备制造；高铁设备、配件制造与销售；轨道交通专用设备、关键系统及部件销售；机械电气设备制造与销售；电力电子元器件、光伏及风电设备、储能技术服务、电池零配件；消防与安防设备；软件开发、工业互联网数据服务；期刊出版（《铁道车辆》《国外铁道车辆》）等。股权结构：中国中车股份有限公司持股100%，最终实际控制人为国务院国有资产监督管理委员会（央企三级子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对外投资27家企业，形成以轨道交通核心系统为主的产业布局，并组建了专业子公司强化制动系统（中车制动）等业务。总部位于市北瑞昌路，在青岛国家高新技术产业开发区设有产业园（占地约13万平方米）。内设电气、减振、钩缓、制动、智能装备、绿色节能、信号等专业研发与产业板块。</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1959年建所，长期承担铁道车辆科研与标准归口工作；2000年转制为企业；2007年改制为有限责任公司；2015年纳入中国中车。公司是中国轨道车辆关键系统技术和产品的重要供应商，参与并引领高速动车组关键技术自主创新，在车钩缓冲、制动、减振、电气、牵引与信号等核心系统领域具备国内领先、国际先进的技术能力，承担国家高速列车技术创新中心等相关重大项目建设。</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轨道交通关键系统与核心零部件的科研与产业化基地，是青岛轨道交通集群的“系统配套龙头”。主营业务包括：高铁设备与配件、制动系统（中车制动）、钩缓装置、减振产品、牵引传动与网络控制、信号系统、智能装备、绿色节能（光伏/风电/储能）等核心系统与部件的研发、制造与销售，并提供技术服务与系统集成解决方案。</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可划分为轨道交通核心系统（制动、钩缓、减振、电气、牵引、信号）、智能装备、绿色节能（新能源）及技术服务四大板块。由于单体财报未公开披露，各板块收入占比无公开权威数据。核心系统业务构成收入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制动系统（中车制动）：城轨电驱机械制动、高速列车制动系统等。2. 钩缓装置：车钩缓冲系统，主导ISO国际标准工作组。3. 减振产品：轨道车辆及汽车、工程减振。4. 电气与牵引：电气产品、牵引传动、微机控制。5. 信号系统：城轨信号与车地协同。6. 智能装备与绿色节能：智能供电、双向变流、光伏/风电/储能。7. 期刊出版：《铁道车辆》《国外铁道车辆》。</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客户以主机厂（中国中车旗下各整车企业，如中车四方、长客、唐车）、国铁集团及各地铁公司为主，并进入国际市场（减振、钩缓、电气产品已出海）。客户集中度高，与主机厂深度协同。</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生产所需原材料包括金属结构件、电子元器件、液压/气动元件、复合材料等，依托合格供应商体系采购，部分关键部件自主研制。</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市北总部（约7万平米）与高新产业园（约13万平米）两大载体，是国家级企业技术中心，通过ISO9001、IRIS、ISO14000、OHSAS18000、ISO/TS16949等体系认证；拥有专利2,094项、商标103项、著作权590项，知识产权储备在同业中极为突出。</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以“技术驱动+系统集成”模式，向主机厂与业主提供核心系统配套，国内依托中车体系与铁路/城轨业主，海外通过中车出海平台及自主拓展。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工商信息，公司参保人数约1,292人，对外投资27家，参与招投标11,290次，专利2,094项，体现极高的技术活跃度与市场参与度。作为制动系统、钩缓、减振等核心系统的国内重要供应商，在细分领域位居前列，但具体市场占有率未单独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中车青岛四方车辆研究所有限公司为非上市法人独资企业，单体经审计的近三年财务报告未公开披露，相关财务数据并入中国中车股份有限公司（601766.SH）年度报告合并报表。公开可得经营概况如下：</w:t>
      </w:r>
    </w:p>
    <w:tbl>
      <w:tblPr>
        <w:tblStyle w:val="TableGrid"/>
        <w:tblW w:type="auto" w:w="0"/>
        <w:jc w:val="center"/>
        <w:tblLook w:firstColumn="1" w:firstRow="1" w:lastColumn="0" w:lastRow="0" w:noHBand="0" w:noVBand="1" w:val="04A0"/>
      </w:tblPr>
      <w:tblGrid>
        <w:gridCol w:w="2948"/>
        <w:gridCol w:w="2948"/>
        <w:gridCol w:w="2948"/>
      </w:tblGrid>
      <w:tr>
        <w:tc>
          <w:tcPr>
            <w:tcW w:type="dxa" w:w="260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可得数据</w:t>
            </w:r>
          </w:p>
        </w:tc>
        <w:tc>
          <w:tcPr>
            <w:tcW w:type="dxa" w:w="3175"/>
          </w:tcPr>
          <w:p>
            <w:pPr>
              <w:spacing w:lineRule="exact" w:line="600"/>
              <w:jc w:val="center"/>
            </w:pPr>
            <w:r/>
            <w:r>
              <w:rPr>
                <w:rFonts w:ascii="黑体" w:hAnsi="黑体" w:eastAsia="黑体"/>
                <w:b/>
                <w:color w:val="000000"/>
                <w:sz w:val="32"/>
              </w:rPr>
              <w:t>说明</w:t>
            </w:r>
          </w:p>
        </w:tc>
      </w:tr>
      <w:tr>
        <w:tc>
          <w:tcPr>
            <w:tcW w:type="dxa" w:w="260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22.21亿元</w:t>
            </w:r>
          </w:p>
        </w:tc>
        <w:tc>
          <w:tcPr>
            <w:tcW w:type="dxa" w:w="3175"/>
          </w:tcPr>
          <w:p>
            <w:pPr>
              <w:spacing w:lineRule="exact" w:line="600"/>
              <w:jc w:val="center"/>
            </w:pPr>
            <w:r/>
            <w:r>
              <w:rPr>
                <w:rFonts w:ascii="仿宋_GB2312" w:hAnsi="仿宋_GB2312" w:eastAsia="仿宋_GB2312"/>
                <w:b w:val="0"/>
                <w:color w:val="000000"/>
                <w:sz w:val="32"/>
              </w:rPr>
              <w:t>工商登记（已实缴）</w:t>
            </w:r>
          </w:p>
        </w:tc>
      </w:tr>
      <w:tr>
        <w:tc>
          <w:tcPr>
            <w:tcW w:type="dxa" w:w="2608"/>
          </w:tcPr>
          <w:p>
            <w:pPr>
              <w:spacing w:lineRule="exact" w:line="600"/>
              <w:jc w:val="center"/>
            </w:pPr>
            <w:r/>
            <w:r>
              <w:rPr>
                <w:rFonts w:ascii="仿宋_GB2312" w:hAnsi="仿宋_GB2312" w:eastAsia="仿宋_GB2312"/>
                <w:b w:val="0"/>
                <w:color w:val="000000"/>
                <w:sz w:val="32"/>
              </w:rPr>
              <w:t>参保人数</w:t>
            </w:r>
          </w:p>
        </w:tc>
        <w:tc>
          <w:tcPr>
            <w:tcW w:type="dxa" w:w="2948"/>
          </w:tcPr>
          <w:p>
            <w:pPr>
              <w:spacing w:lineRule="exact" w:line="600"/>
              <w:jc w:val="center"/>
            </w:pPr>
            <w:r/>
            <w:r>
              <w:rPr>
                <w:rFonts w:ascii="仿宋_GB2312" w:hAnsi="仿宋_GB2312" w:eastAsia="仿宋_GB2312"/>
                <w:b w:val="0"/>
                <w:color w:val="000000"/>
                <w:sz w:val="32"/>
              </w:rPr>
              <w:t>约1,292人</w:t>
            </w:r>
          </w:p>
        </w:tc>
        <w:tc>
          <w:tcPr>
            <w:tcW w:type="dxa" w:w="3175"/>
          </w:tcPr>
          <w:p>
            <w:pPr>
              <w:spacing w:lineRule="exact" w:line="600"/>
              <w:jc w:val="center"/>
            </w:pPr>
            <w:r/>
            <w:r>
              <w:rPr>
                <w:rFonts w:ascii="仿宋_GB2312" w:hAnsi="仿宋_GB2312" w:eastAsia="仿宋_GB2312"/>
                <w:b w:val="0"/>
                <w:color w:val="000000"/>
                <w:sz w:val="32"/>
              </w:rPr>
              <w:t>2025年年报</w:t>
            </w:r>
          </w:p>
        </w:tc>
      </w:tr>
      <w:tr>
        <w:tc>
          <w:tcPr>
            <w:tcW w:type="dxa" w:w="2608"/>
          </w:tcPr>
          <w:p>
            <w:pPr>
              <w:spacing w:lineRule="exact" w:line="600"/>
              <w:jc w:val="center"/>
            </w:pPr>
            <w:r/>
            <w:r>
              <w:rPr>
                <w:rFonts w:ascii="仿宋_GB2312" w:hAnsi="仿宋_GB2312" w:eastAsia="仿宋_GB2312"/>
                <w:b w:val="0"/>
                <w:color w:val="000000"/>
                <w:sz w:val="32"/>
              </w:rPr>
              <w:t>专利/商标/著作权</w:t>
            </w:r>
          </w:p>
        </w:tc>
        <w:tc>
          <w:tcPr>
            <w:tcW w:type="dxa" w:w="2948"/>
          </w:tcPr>
          <w:p>
            <w:pPr>
              <w:spacing w:lineRule="exact" w:line="600"/>
              <w:jc w:val="center"/>
            </w:pPr>
            <w:r/>
            <w:r>
              <w:rPr>
                <w:rFonts w:ascii="仿宋_GB2312" w:hAnsi="仿宋_GB2312" w:eastAsia="仿宋_GB2312"/>
                <w:b w:val="0"/>
                <w:color w:val="000000"/>
                <w:sz w:val="32"/>
              </w:rPr>
              <w:t>2094/103/590项</w:t>
            </w:r>
          </w:p>
        </w:tc>
        <w:tc>
          <w:tcPr>
            <w:tcW w:type="dxa" w:w="3175"/>
          </w:tcPr>
          <w:p>
            <w:pPr>
              <w:spacing w:lineRule="exact" w:line="600"/>
              <w:jc w:val="center"/>
            </w:pPr>
            <w:r/>
            <w:r>
              <w:rPr>
                <w:rFonts w:ascii="仿宋_GB2312" w:hAnsi="仿宋_GB2312" w:eastAsia="仿宋_GB2312"/>
                <w:b w:val="0"/>
                <w:color w:val="000000"/>
                <w:sz w:val="32"/>
              </w:rPr>
              <w:t>天眼查</w:t>
            </w:r>
          </w:p>
        </w:tc>
      </w:tr>
      <w:tr>
        <w:tc>
          <w:tcPr>
            <w:tcW w:type="dxa" w:w="2608"/>
          </w:tcPr>
          <w:p>
            <w:pPr>
              <w:spacing w:lineRule="exact" w:line="600"/>
              <w:jc w:val="center"/>
            </w:pPr>
            <w:r/>
            <w:r>
              <w:rPr>
                <w:rFonts w:ascii="仿宋_GB2312" w:hAnsi="仿宋_GB2312" w:eastAsia="仿宋_GB2312"/>
                <w:b w:val="0"/>
                <w:color w:val="000000"/>
                <w:sz w:val="32"/>
              </w:rPr>
              <w:t>资产负债率/毛利率/经营现金流</w:t>
            </w:r>
          </w:p>
        </w:tc>
        <w:tc>
          <w:tcPr>
            <w:tcW w:type="dxa" w:w="2948"/>
          </w:tcPr>
          <w:p>
            <w:pPr>
              <w:spacing w:lineRule="exact" w:line="600"/>
              <w:jc w:val="center"/>
            </w:pPr>
            <w:r/>
            <w:r>
              <w:rPr>
                <w:rFonts w:ascii="仿宋_GB2312" w:hAnsi="仿宋_GB2312" w:eastAsia="仿宋_GB2312"/>
                <w:b w:val="0"/>
                <w:color w:val="000000"/>
                <w:sz w:val="32"/>
              </w:rPr>
              <w:t>未单独披露</w:t>
            </w:r>
          </w:p>
        </w:tc>
        <w:tc>
          <w:tcPr>
            <w:tcW w:type="dxa" w:w="3175"/>
          </w:tcPr>
          <w:p>
            <w:pPr>
              <w:spacing w:lineRule="exact" w:line="600"/>
              <w:jc w:val="center"/>
            </w:pPr>
            <w:r/>
            <w:r>
              <w:rPr>
                <w:rFonts w:ascii="仿宋_GB2312" w:hAnsi="仿宋_GB2312" w:eastAsia="仿宋_GB2312"/>
                <w:b w:val="0"/>
                <w:color w:val="000000"/>
                <w:sz w:val="32"/>
              </w:rPr>
              <w:t>并入中国中车合并报表</w:t>
            </w:r>
          </w:p>
        </w:tc>
      </w:tr>
    </w:tbl>
    <w:p>
      <w:pPr>
        <w:spacing w:lineRule="exact" w:line="600" w:before="0" w:after="0"/>
        <w:ind w:firstLine="420"/>
        <w:jc w:val="both"/>
      </w:pPr>
      <w:r>
        <w:rPr>
          <w:rFonts w:ascii="仿宋_GB2312" w:hAnsi="仿宋_GB2312" w:eastAsia="仿宋_GB2312"/>
          <w:b w:val="0"/>
          <w:color w:val="000000"/>
          <w:sz w:val="32"/>
        </w:rPr>
        <w:t>注：单体详细财务指标建议参阅中国中车年度报告分部信息或公司专项审计报告。</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单体盈利指标未公开披露。作为高知识产权密度的系统供应商，盈利以核心系统销售与技术许可为主，附加值较高。</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资产以研发与产业园区、专用装备、无形资产（专利/商标）为主，质量优良；单体资产负债表未公开。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财务数据未单独披露。央企三级子公司，信用资质优良，偿债风险低。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财务数据未单独披露，现金流并入中国中车合并报表。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与轨交核心系统同业相比，公司在制动、钩缓、减振领域技术领先、标准话语权强；量化对标需借助合并报表分部数据。</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公司作为央企三级子公司，落实“三重一大”决策制度，党委发挥领导作用，董事会（董事长邢晓东）与经营层规范运作，纳入中国中车统一治理与风控体系。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法定代表人、董事长邢晓东；总经理李照平；董事郭建斌、唐绍明等。管理团队兼具科研与产业化背景。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公司通过IRIS等铁路行业质量体系与国资内控规范，建立覆盖研发、采购、生产、销售的内控体系，并承担车辆专业标准化归口职能。</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公司员工约1,300人（公开资料显示具有中高级以上职称超400人），研发人员占比高，技术人才密集，是核心竞争力的重要支撑。</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技术标准壁垒：主导车钩缓冲等ISO国际标准工作组，标准话语权强。2. 知识产权壁垒：专利2,094项，技术储备厚实。3. 系统总成能力：制动、钩缓、减振、电气、牵引、信号多核心系统自主可控。4. 央企协同：深度绑定中车整车企业与国铁/城轨业主。5. 研发平台：国家级企业技术中心、国家高速列车技术创新中心参与单位。</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行业风险：铁路/城轨投资波动影响主机厂配套需求。2. 经营风险：客户集中度高，对整车企业依赖强。3. 财务风险：单体财务未公开，需关注研发投入回报。4. 合规风险：出口管制与知识产权合规。应对措施：拓展相关多元化（新能源、智能装备）、强化合规、稳健出海。</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公司研发与产业化投入大，可与山东投资协同：1. 供应链金融：为上游配套中小企业提供保理与订单融资；2. 融资租赁：为产业园设备升级开展融资租赁；3. 保理：盘活对主机厂/业主的应收账款；4. 小额贷款：支持产业链中小配套。亦可探讨山东投资参与其孵化企业（如思锐智能等）的股权融资。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中车青岛四方车辆研究所有限公司是青岛轨道交通集群的核心系统配套龙头，在制动、钩缓、减振、电气等轨交关键系统领域技术领先、标准话语权强，央企背景与高知识产权密度构成深厚护城河。短板为单体财务透明度有限。</w:t>
      </w:r>
    </w:p>
    <w:p>
      <w:pPr>
        <w:spacing w:lineRule="exact" w:line="600" w:before="0" w:after="0"/>
        <w:ind w:firstLine="420"/>
        <w:jc w:val="both"/>
      </w:pPr>
      <w:r>
        <w:rPr>
          <w:rFonts w:ascii="仿宋_GB2312" w:hAnsi="仿宋_GB2312" w:eastAsia="仿宋_GB2312"/>
          <w:b w:val="0"/>
          <w:color w:val="000000"/>
          <w:sz w:val="32"/>
        </w:rPr>
        <w:t>发展展望：在智能列车、绿色节能（储能/光伏）、自主核心系统国产替代趋势下，公司成长空间广阔。建议：一是提升单体财务信息披露；二是借助山东投资等资本，以供应链金融、产业基金支持其上下游配套与孵化企业，强化青岛轨交产业链生态。</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数据来源包括：中车青岛四方车辆研究所有限公司官网（crrcgc.cc/sfs）及英文简介；中国中车股份有限公司（601766.SH）公开信息；天眼查、企查查、青岛公共资源交易主体信息；公开媒体报道。单体经审计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