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平度市新河精细化工特色产业集群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青岛海湾精细化工有限公司企业分析报告</w:t>
      </w:r>
    </w:p>
    <w:p>
      <w:pPr>
        <w:spacing w:lineRule="exact" w:line="600" w:before="0" w:after="0"/>
        <w:jc w:val="left"/>
      </w:pPr>
      <w:r>
        <w:rPr>
          <w:rFonts w:ascii="仿宋_GB2312" w:hAnsi="仿宋_GB2312" w:eastAsia="仿宋_GB2312"/>
          <w:b w:val="0"/>
          <w:color w:val="000000"/>
          <w:sz w:val="28"/>
        </w:rPr>
        <w:t>（本报告依据平度市人民政府、青岛市人民政府及权威媒体公开报道信息编制，涉及未公开披露事项均如实标注，用于产业集群代表企业分析参考。）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青岛海湾精细化工有限公司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青岛市平度市新河生态化工科技产业基地（新河化工产业园）</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平度市新河精细化工特色产业集群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基础原料与单体（染料及染料中间体）</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苯胺黑、二乙芳胺等染料及中间体</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青岛海湾精细化工有限公司位于青岛市平度市新河生态化工科技产业基地，是平度市染料及染料中间体产业的龙头企业，也是平度市新河精细化工特色产业集群的核心骨干。公司主要从事染料、染料中间体及相关精细化学品的研发、生产与销售，主导产品苯胺黑产能位居全球首位，二乙芳胺产能位居国内首位。</w:t>
      </w:r>
    </w:p>
    <w:p>
      <w:pPr>
        <w:spacing w:lineRule="exact" w:line="600" w:before="0" w:after="0"/>
        <w:ind w:firstLine="420"/>
        <w:jc w:val="both"/>
      </w:pPr>
      <w:r>
        <w:rPr>
          <w:rFonts w:ascii="仿宋_GB2312" w:hAnsi="仿宋_GB2312" w:eastAsia="仿宋_GB2312"/>
          <w:b w:val="0"/>
          <w:color w:val="000000"/>
          <w:sz w:val="32"/>
        </w:rPr>
        <w:t>在工商登记信息方面，公司成立时间、注册资本、法定代表人、统一社会信用代码等事项在本次公开渠道检索中未获取到可靠一致的记载，报告不作推测。在实际开展业务时，应当调取国家企业信用信息公示系统的完整登记信息，并核验营业执照、公司章程、危险化学品生产许可证、安全生产许可证、排污许可证等证照原件。</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报道，公司系青岛海湾集团旗下精细化工业务主体之一，与青岛海湾化学等企业同属海湾系企业序列，青岛海湾集团为青岛市市属大型国有化工企业集团。公司股东名册、各股东持股比例、是否存在国有股权划转或混合所有制改革安排等事项未公开披露，本报告不作推断。</w:t>
      </w:r>
    </w:p>
    <w:p>
      <w:pPr>
        <w:spacing w:lineRule="exact" w:line="600" w:before="0" w:after="0"/>
        <w:ind w:firstLine="420"/>
        <w:jc w:val="both"/>
      </w:pPr>
      <w:r>
        <w:rPr>
          <w:rFonts w:ascii="仿宋_GB2312" w:hAnsi="仿宋_GB2312" w:eastAsia="仿宋_GB2312"/>
          <w:b w:val="0"/>
          <w:color w:val="000000"/>
          <w:sz w:val="32"/>
        </w:rPr>
        <w:t>从集团化经营的角度看，隶属大型化工集团为公司带来三方面便利：一是原料与公用工程的集团内协同，可通过集团内部互供降低采购成本与物流成本；二是资金与信用的集团支持，公开报道显示公司新建项目获得银行授信20亿元，与其所处集团背景和项目本身的可行性均有关联；三是安全环保与合规管理体系的集团化输出，有利于提升单体企业的管理水平。同时也需注意，集团内关联交易规模与定价机制、集团整体债务水平会影响对单体企业信用的判断。</w:t>
      </w:r>
    </w:p>
    <w:p>
      <w:pPr>
        <w:spacing w:lineRule="exact" w:line="600" w:before="0" w:after="0"/>
        <w:ind w:firstLine="420"/>
        <w:jc w:val="both"/>
      </w:pPr>
      <w:r>
        <w:rPr>
          <w:rFonts w:ascii="仿宋_GB2312" w:hAnsi="仿宋_GB2312" w:eastAsia="仿宋_GB2312"/>
          <w:b w:val="0"/>
          <w:color w:val="000000"/>
          <w:sz w:val="32"/>
        </w:rPr>
        <w:t>从出资人属性看，海湾精化系大型企业集团成员企业，集团内部通常存在原料互供、产品互销、共用公用工程与物流设施等安排，一体化协同带来的成本优势明显，但也使单体报表的独立性下降。金融机构应重点核查关联交易的规模与定价机制、集团资金归集（资金池）安排对该主体流动性的影响、集团整体负债与对外担保情况，避免因"集团光环"高估单体偿债能力，亦应避免忽视集团实际支持能力而低估其信用水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的发展与青岛市老城区化工企业搬迁改造、平度新河化工产业园区建设两条主线密切相关。伴随青岛市推进主城区化工产能向园区集中、向沿海化工基地转移的战略部署，公司在新河化工产业园完成布局，实现了工艺装备的整体升级换代，摆脱了老厂区在安全距离、环保容量、装置规模上的历史制约。</w:t>
      </w:r>
    </w:p>
    <w:p>
      <w:pPr>
        <w:spacing w:lineRule="exact" w:line="600" w:before="0" w:after="0"/>
        <w:ind w:firstLine="420"/>
        <w:jc w:val="both"/>
      </w:pPr>
      <w:r>
        <w:rPr>
          <w:rFonts w:ascii="仿宋_GB2312" w:hAnsi="仿宋_GB2312" w:eastAsia="仿宋_GB2312"/>
          <w:b w:val="0"/>
          <w:color w:val="000000"/>
          <w:sz w:val="32"/>
        </w:rPr>
        <w:t>在产品端，公司由传统染料生产逐步向染料中间体、精细化工新材料方向延伸，通过连续硝化等清洁生产工艺改造，实现收率提升约15%，在提高经济效益的同时降低了三废产生量。据公开报道，公司投资25亿元建设的新项目达产后可实现年销售收入35亿元、年利税7.8亿元，是其发展史上规模最大的一次产能与技术跃升。</w:t>
      </w:r>
    </w:p>
    <w:p>
      <w:pPr>
        <w:spacing w:lineRule="exact" w:line="600" w:before="0" w:after="0"/>
        <w:ind w:firstLine="420"/>
        <w:jc w:val="both"/>
      </w:pPr>
      <w:r>
        <w:rPr>
          <w:rFonts w:ascii="仿宋_GB2312" w:hAnsi="仿宋_GB2312" w:eastAsia="仿宋_GB2312"/>
          <w:b w:val="0"/>
          <w:color w:val="000000"/>
          <w:sz w:val="32"/>
        </w:rPr>
        <w:t>在市场端，公司由国内市场为主逐步转向国内国际双循环，产品出口40多个国家和地区，海外营业收入占比约30%，形成了较为稳定的国际客户群体。这一沿革表明，公司的成长不是依赖单一政策红利，而是"园区化搬迁+工艺升级+市场国际化"三重驱动的结果，成长的可持续性相对较好。</w:t>
      </w:r>
    </w:p>
    <w:p>
      <w:pPr>
        <w:spacing w:lineRule="exact" w:line="600" w:before="0" w:after="0"/>
        <w:ind w:firstLine="420"/>
        <w:jc w:val="both"/>
      </w:pPr>
      <w:r>
        <w:rPr>
          <w:rFonts w:ascii="仿宋_GB2312" w:hAnsi="仿宋_GB2312" w:eastAsia="仿宋_GB2312"/>
          <w:b w:val="0"/>
          <w:color w:val="000000"/>
          <w:sz w:val="32"/>
        </w:rPr>
        <w:t>总体看，海湾精化的发展轨迹与精细化工与化工新材料行业演进和平度市新河精细化工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染料产业链的中上游，即从基础化工原料出发生产染料中间体，并进一步合成染料产品，是下游纺织印染、涂料油墨、塑料着色等行业的关键原料供应方。据公开报道，公司苯胺黑产能全球最大、占全球市场份额超过50%；二乙芳胺产能国内最大、市场占有率约40%；整体染料产品国内市场占有率约54%。</w:t>
      </w:r>
    </w:p>
    <w:p>
      <w:pPr>
        <w:spacing w:lineRule="exact" w:line="600" w:before="0" w:after="0"/>
        <w:ind w:firstLine="420"/>
        <w:jc w:val="both"/>
      </w:pPr>
      <w:r>
        <w:rPr>
          <w:rFonts w:ascii="仿宋_GB2312" w:hAnsi="仿宋_GB2312" w:eastAsia="仿宋_GB2312"/>
          <w:b w:val="0"/>
          <w:color w:val="000000"/>
          <w:sz w:val="32"/>
        </w:rPr>
        <w:t>上述份额数据显示，公司在若干细分品种上具有全球性的规模地位与定价影响力。这类"小品种、大份额"的隐形冠军型企业，是我国精细化工领域的重要竞争力所在——其单品种市场规模不大，难以吸引大型跨国企业持续投入，但技术门槛与客户认证壁垒较高，一旦形成规模优势即可长期占据主导地位。</w:t>
      </w:r>
    </w:p>
    <w:p>
      <w:pPr>
        <w:spacing w:lineRule="exact" w:line="600" w:before="0" w:after="0"/>
        <w:ind w:firstLine="420"/>
        <w:jc w:val="both"/>
      </w:pPr>
      <w:r>
        <w:rPr>
          <w:rFonts w:ascii="仿宋_GB2312" w:hAnsi="仿宋_GB2312" w:eastAsia="仿宋_GB2312"/>
          <w:b w:val="0"/>
          <w:color w:val="000000"/>
          <w:sz w:val="32"/>
        </w:rPr>
        <w:t>需要提示的是，上述份额数据来自政府部门与媒体的公开报道，统计口径与基准年份未详细说明。在授信或投资决策中，应通过行业协会统计、下游核心客户采购数据等渠道进行交叉验证。</w:t>
      </w:r>
    </w:p>
    <w:p>
      <w:pPr>
        <w:spacing w:lineRule="exact" w:line="600" w:before="0" w:after="0"/>
        <w:ind w:firstLine="420"/>
        <w:jc w:val="both"/>
      </w:pPr>
      <w:r>
        <w:rPr>
          <w:rFonts w:ascii="仿宋_GB2312" w:hAnsi="仿宋_GB2312" w:eastAsia="仿宋_GB2312"/>
          <w:b w:val="0"/>
          <w:color w:val="000000"/>
          <w:sz w:val="32"/>
        </w:rPr>
        <w:t>在平度市新河精细化工特色产业集群的产业链分工中，海湾精化处于"基础原料与单体"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染料及染料中间体为核心。苯胺黑属于苯胺类黑色染料，主要用于皮革、纺织、油墨、塑料等领域的着色；二乙芳胺属于重要的染料与医药中间体，是合成多种染料品种的关键原料。两类产品既相互配套形成"中间体—染料"的纵向衔接，又分别面向不同下游行业，具有一定的风险分散作用。</w:t>
      </w:r>
    </w:p>
    <w:p>
      <w:pPr>
        <w:spacing w:lineRule="exact" w:line="600" w:before="0" w:after="0"/>
        <w:ind w:firstLine="420"/>
        <w:jc w:val="both"/>
      </w:pPr>
      <w:r>
        <w:rPr>
          <w:rFonts w:ascii="仿宋_GB2312" w:hAnsi="仿宋_GB2312" w:eastAsia="仿宋_GB2312"/>
          <w:b w:val="0"/>
          <w:color w:val="000000"/>
          <w:sz w:val="32"/>
        </w:rPr>
        <w:t>据公开报道，公司投资25亿元的新项目聚焦高端染料供给能力提升，达产后年销售收入35亿元、年利税7.8亿元。以此测算，新项目本身的规模已相当可观，项目投产节奏与市场消化能力将成为影响公司未来收入结构的关键变量。分产品的销量、单价与毛利率数据未公开披露，建议在尽职调查中重点获取。</w:t>
      </w:r>
    </w:p>
    <w:p>
      <w:pPr>
        <w:spacing w:lineRule="exact" w:line="600" w:before="0" w:after="0"/>
        <w:ind w:firstLine="420"/>
        <w:jc w:val="both"/>
      </w:pPr>
      <w:r>
        <w:rPr>
          <w:rFonts w:ascii="仿宋_GB2312" w:hAnsi="仿宋_GB2312" w:eastAsia="仿宋_GB2312"/>
          <w:b w:val="0"/>
          <w:color w:val="000000"/>
          <w:sz w:val="32"/>
        </w:rPr>
        <w:t>从业务结构的稳健性看，评价海湾精化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平度新河生态化工科技产业基地。该基地是青岛市规划建设的专业化工园区，配套集中供热供汽、集中污水处理、危化品仓储物流、公共检测等基础设施，符合国家关于化工企业"入园入区"的政策导向，为公司产能的合规性与可扩展性提供了基础保障。</w:t>
      </w:r>
    </w:p>
    <w:p>
      <w:pPr>
        <w:spacing w:lineRule="exact" w:line="600" w:before="0" w:after="0"/>
        <w:ind w:firstLine="420"/>
        <w:jc w:val="both"/>
      </w:pPr>
      <w:r>
        <w:rPr>
          <w:rFonts w:ascii="仿宋_GB2312" w:hAnsi="仿宋_GB2312" w:eastAsia="仿宋_GB2312"/>
          <w:b w:val="0"/>
          <w:color w:val="000000"/>
          <w:sz w:val="32"/>
        </w:rPr>
        <w:t>资质方面，作为染料及中间体生产企业，公司须持有安全生产许可证、危险化学品生产（经营）许可证、排污许可证，并通过环评、安评、能评等前置审批。据公开报道，公司建有省级技术中心，采用连续硝化等清洁工艺。硝化工序属于典型的重点监管危险工艺，连续化改造在提升收率的同时显著降低了间歇釜式反应的爆炸风险，是安全与效益兼得的技术路线。各类证照的具体品种、许可产能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主要为纺织印染、皮革、油墨涂料、塑料着色等行业的生产企业与贸易商，并通过出口渠道覆盖40多个国家和地区，海外营收占比约30%。这一客户结构的特点是：国内客户分散度较高、单笔规模中等，海外客户以贸易商与终端制造商并存，通常采用信用证、预付款或较短账期结算，回款确定性优于国内赊销。</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考虑到染料行业下游印染企业普遍规模不大、受环保管控影响明显，建议重点关注国内客户的信用状况与集中度，并核查是否存在长账龄应收款项。</w:t>
      </w:r>
    </w:p>
    <w:p>
      <w:pPr>
        <w:spacing w:lineRule="exact" w:line="600" w:before="0" w:after="0"/>
        <w:ind w:firstLine="420"/>
        <w:jc w:val="both"/>
      </w:pPr>
      <w:r>
        <w:rPr>
          <w:rFonts w:ascii="仿宋_GB2312" w:hAnsi="仿宋_GB2312" w:eastAsia="仿宋_GB2312"/>
          <w:b w:val="0"/>
          <w:color w:val="000000"/>
          <w:sz w:val="32"/>
        </w:rPr>
        <w:t>客户结构是判断海湾精化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苯胺、苯类芳烃及硝酸等基础化工原料，属于典型的石化下游产品，价格与原油、煤化工产业链联动明显。平度新河化工产业园内企业众多，园区内原料互供与副产物综合利用具备一定条件，可在一定程度上降低采购与物流成本。</w:t>
      </w:r>
    </w:p>
    <w:p>
      <w:pPr>
        <w:spacing w:lineRule="exact" w:line="600" w:before="0" w:after="0"/>
        <w:ind w:firstLine="420"/>
        <w:jc w:val="both"/>
      </w:pPr>
      <w:r>
        <w:rPr>
          <w:rFonts w:ascii="仿宋_GB2312" w:hAnsi="仿宋_GB2312" w:eastAsia="仿宋_GB2312"/>
          <w:b w:val="0"/>
          <w:color w:val="000000"/>
          <w:sz w:val="32"/>
        </w:rPr>
        <w:t>主要供应商名单、采购集中度、长协覆盖比例与原料库存周转天数未公开披露。鉴于苯胺等原料价格波动较大且属危险化学品，建议核查其运输与储存的合规性、是否存在单一供应商依赖、以及销售合同中是否设置原料价格联动条款。</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2023年平度精细与专用化学品集群工业产值约230亿元，其中染料及中间体产值约75亿元；2024年平度染料出口额约22亿元。公司作为该细分领域龙头，在集群产值与出口中占据显著份额，是集群对外形象的代表企业之一。</w:t>
      </w:r>
    </w:p>
    <w:p>
      <w:pPr>
        <w:spacing w:lineRule="exact" w:line="600" w:before="0" w:after="0"/>
        <w:ind w:firstLine="420"/>
        <w:jc w:val="both"/>
      </w:pPr>
      <w:r>
        <w:rPr>
          <w:rFonts w:ascii="仿宋_GB2312" w:hAnsi="仿宋_GB2312" w:eastAsia="仿宋_GB2312"/>
          <w:b w:val="0"/>
          <w:color w:val="000000"/>
          <w:sz w:val="32"/>
        </w:rPr>
        <w:t>竞争格局方面，全球染料行业经过多轮环保整治与产能出清，产能与话语权已明显向中国企业集中，国内则形成了以少数龙头企业主导主流品种、众多中小企业经营特色品种的格局。公司凭借苯胺黑全球第一的产能规模，在该细分品种上具有较强的价格影响力；但在通用染料领域仍需面对国内大型染料企业的竞争。</w:t>
      </w:r>
    </w:p>
    <w:p>
      <w:pPr>
        <w:spacing w:lineRule="exact" w:line="600" w:before="0" w:after="0"/>
        <w:ind w:firstLine="420"/>
        <w:jc w:val="both"/>
      </w:pPr>
      <w:r>
        <w:rPr>
          <w:rFonts w:ascii="仿宋_GB2312" w:hAnsi="仿宋_GB2312" w:eastAsia="仿宋_GB2312"/>
          <w:b w:val="0"/>
          <w:color w:val="000000"/>
          <w:sz w:val="32"/>
        </w:rPr>
        <w:t>判断海湾精化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其资产负债表、利润表、现金流量表及审计报告未在公开渠道披露，财务数据未公开披露。可获取的经营规模类替代指标为：新建项目投资额25亿元、达产后年销售收入35亿元、年利税7.8亿元，公开报道提及获得银行授信20亿元。</w:t>
      </w:r>
    </w:p>
    <w:p>
      <w:pPr>
        <w:spacing w:lineRule="exact" w:line="600" w:before="0" w:after="0"/>
        <w:ind w:firstLine="420"/>
        <w:jc w:val="both"/>
      </w:pPr>
      <w:r>
        <w:rPr>
          <w:rFonts w:ascii="仿宋_GB2312" w:hAnsi="仿宋_GB2312" w:eastAsia="仿宋_GB2312"/>
          <w:b w:val="0"/>
          <w:color w:val="000000"/>
          <w:sz w:val="32"/>
        </w:rPr>
        <w:t>依据上述替代指标可作三点初步判断：一是公司属于资本密集型企业，新项目投资强度大，建设期资金需求集中，存在较高的债务融资需求；二是达产后利税与销售收入的比率约22%，若数据可靠则显示项目盈利能力较强，但"利税"口径包含增值税等税种，不能等同于利润率；三是20亿元授信规模与25亿元项目投资基本匹配，说明项目资金来源以银行信贷为主，需关注项目现金流对还本付息的覆盖程度。</w:t>
      </w:r>
    </w:p>
    <w:p>
      <w:pPr>
        <w:spacing w:lineRule="exact" w:line="600" w:before="0" w:after="0"/>
        <w:ind w:firstLine="420"/>
        <w:jc w:val="both"/>
      </w:pPr>
      <w:r>
        <w:rPr>
          <w:rFonts w:ascii="仿宋_GB2312" w:hAnsi="仿宋_GB2312" w:eastAsia="仿宋_GB2312"/>
          <w:b w:val="0"/>
          <w:color w:val="000000"/>
          <w:sz w:val="32"/>
        </w:rPr>
        <w:t>海湾精化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染料及中间体行业的盈利波动主要来自三方面：一是下游印染行业开工率，受出口订单与环保管控双重影响；二是苯胺等原料价格波动；三是环保成本，尤其是废水、废盐处理成本的持续上升。公司在苯胺黑等细分品种上的高份额有助于向下游传导成本压力，这是其盈利稳定性优于普通中小化工企业的重要基础。</w:t>
      </w:r>
    </w:p>
    <w:p>
      <w:pPr>
        <w:spacing w:lineRule="exact" w:line="600" w:before="0" w:after="0"/>
        <w:ind w:firstLine="420"/>
        <w:jc w:val="both"/>
      </w:pPr>
      <w:r>
        <w:rPr>
          <w:rFonts w:ascii="仿宋_GB2312" w:hAnsi="仿宋_GB2312" w:eastAsia="仿宋_GB2312"/>
          <w:b w:val="0"/>
          <w:color w:val="000000"/>
          <w:sz w:val="32"/>
        </w:rPr>
        <w:t>化工新材料企业的盈利能力本质上由"价差"驱动，即产品价格与主要原料价格之间的差额。分析时应将毛利率变动拆解为量、价、成本三项因素：在行业景气上行期，价格上涨快于成本，毛利率扩张；在下行期，产品价格下跌而原料价格具有刚性，毛利率快速收窄甚至转负。判断盈利可持续性的关键，不在于某一年度毛利率的绝对高低，而在于企业在周期底部的成本分位——处于行业成本曲线左侧的企业能够在低谷期维持开工并挤出高成本产能，从而在复苏期获得超额收益。因此对海湾精化的盈利评价，应重点考察其单位产品能耗、原料自供率、装置规模与一体化程度等决定成本位次的结构性因素。</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从同类企业的一般特征判断，其资产以固定资产与在建工程为主，25亿元新项目建设期内在建工程规模较大，需重点关注转固进度与资本化利息处理；流动资产中存货以原料与成品为主，因危险化学品储存受限，库存周转通常快于一般制造业；应收账款受国内印染客户信用状况影响，需核查账龄与坏账准备计提政策。</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已知获得银行授信20亿元，结合25亿元项目投资规模判断，其有息债务规模在建设期内可能显著上升，资产负债率随之提高。建议核查授信的品种构成（项目贷款与流动资金贷款比例）、期限结构、抵质押安排以及是否存在集团内部担保与互保情形。</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海湾精化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项目建设期内投资活动现金流出规模大、经营活动现金流需覆盖存量业务的营运资金与新项目试生产投入，是流动性压力最集中的阶段。建议获取近三年现金流量表与主要银行账户流水，并结合项目建设进度编制未来三年资金收支计划，评估其偿债能力与再融资需求。</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海湾精化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国内染料行业上市公司作为参照，关注其毛利率、资产负债率与经营现金流水平。需要注意的是，龙头上市公司多以分散染料、活性染料等大宗品种为主，与公司以苯胺黑等特色品种为主的结构差异较大，直接对比毛利率意义有限，更宜从"细分品种全球第一"的市场地位与成本分位角度进行定性比较。</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有限责任公司，依法设立股东会（或执行股东决定机制）与经理层，治理运行情况未公开披露。作为大型国有化工集团成员企业，其重大投资、对外担保、资产处置等事项通常需报集团审批或备案，并纳入集团统一的安全环保、财务与审计监督体系。</w:t>
      </w:r>
    </w:p>
    <w:p>
      <w:pPr>
        <w:spacing w:lineRule="exact" w:line="600" w:before="0" w:after="0"/>
        <w:ind w:firstLine="420"/>
        <w:jc w:val="both"/>
      </w:pPr>
      <w:r>
        <w:rPr>
          <w:rFonts w:ascii="仿宋_GB2312" w:hAnsi="仿宋_GB2312" w:eastAsia="仿宋_GB2312"/>
          <w:b w:val="0"/>
          <w:color w:val="000000"/>
          <w:sz w:val="32"/>
        </w:rPr>
        <w:t>党的建设方面，国有化工企业普遍将党的领导融入公司治理，通过党委前置研究讨论重大经营管理事项，并在生产一线设立党支部推动安全生产责任落实与技术攻关。建议在尽调中核查企业党委会、董事会、经理层议事规则及重大事项决策记录的完整性。</w:t>
      </w:r>
    </w:p>
    <w:p>
      <w:pPr>
        <w:spacing w:lineRule="exact" w:line="600" w:before="0" w:after="0"/>
        <w:ind w:firstLine="420"/>
        <w:jc w:val="both"/>
      </w:pPr>
      <w:r>
        <w:rPr>
          <w:rFonts w:ascii="仿宋_GB2312" w:hAnsi="仿宋_GB2312" w:eastAsia="仿宋_GB2312"/>
          <w:b w:val="0"/>
          <w:color w:val="000000"/>
          <w:sz w:val="32"/>
        </w:rPr>
        <w:t>海湾精化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化工企业的管理层结构中，技术与安全环保背景的高管占比通常较高，这与行业特性直接相关。建议核查主要负责人的化工行业从业年限、安全生产管理资格，以及是否建立与安全环保绩效挂钩的考核问责机制。</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据公开报道，公司建有省级技术中心，表明其具备一定规模的研发队伍。染料及中间体生产对操作人员的工艺纪律要求极高，一线操作工的技能水平与稳定性直接关系装置安全，建议核查特种作业人员持证情况、培训记录与近三年人员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平度市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情况未公开披露。化工企业内控的特殊性在于，除财务与业务内控外，还须建立以工艺安全为核心的过程管理体系，包括变更管理、开停车管理、动火与受限空间等特殊作业许可、重大危险源在线监测、双重预防机制运行等。上述体系的有效性直接决定企业的生存风险，应作为尽调重点。</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连续硝化等清洁生产工艺的工程化能力上。硝化反应放热剧烈、控制难度大，由间歇釜式改为连续化生产，需要在反应器设计、换热与温控、自动联锁保护、在线分析等方面形成成套的工程与操作经验，这类知识多以工艺参数与操作诀窍形式沉淀，难以通过专利文献复制。公开报道显示该工艺使收率提升约15%，这既是成本优势也是环保优势。</w:t>
      </w:r>
    </w:p>
    <w:p>
      <w:pPr>
        <w:spacing w:lineRule="exact" w:line="600" w:before="0" w:after="0"/>
        <w:ind w:firstLine="420"/>
        <w:jc w:val="both"/>
      </w:pPr>
      <w:r>
        <w:rPr>
          <w:rFonts w:ascii="仿宋_GB2312" w:hAnsi="仿宋_GB2312" w:eastAsia="仿宋_GB2312"/>
          <w:b w:val="0"/>
          <w:color w:val="000000"/>
          <w:sz w:val="32"/>
        </w:rPr>
        <w:t>公司建有省级技术中心，具备持续开展工艺优化与新品种开发的组织载体。研发投入金额、研发人员数量、专利数量等具体数据未公开披露，建议在尽调中获取并与同行业对比。</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海湾精化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有三重来源：一是规模，苯胺黑全球产能第一带来显著的单位固定成本摊薄与采购议价能力；二是工艺，连续硝化提升收率、降低单耗与三废处理量；三是园区，新河化工产业园的集中供汽、集中污水处理与危化品物流配套降低了公用工程与合规成本。三者均属结构性优势，可持续性较强。</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染料行业客户对色光一致性、批次稳定性要求极高，一旦形成稳定供货关系，客户切换供应商需重新进行打样、小样与大样验证，切换成本较高。公司产品出口40多个国家和地区、海外营收占比约30%，说明其质量体系已通过境外客户的长期检验，形成了国际市场的客户资产。</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平度新河精细化工特色产业集群2023年工业产值约230亿元，其中农药产业约95亿元、染料及中间体约75亿元、新材料助剂约60亿元，形成了"农药+染料+助剂"三足鼎立的格局。公司作为染料板块龙头，与海利尔药业、瀚生生物、赛诺新材料等企业共处同一园区，在原料互供、公用工程共享、危废协同处置、人才与技术交流等方面具备现实的协同条件。</w:t>
      </w:r>
    </w:p>
    <w:p>
      <w:pPr>
        <w:spacing w:lineRule="exact" w:line="600" w:before="0" w:after="0"/>
        <w:ind w:firstLine="420"/>
        <w:jc w:val="both"/>
      </w:pPr>
      <w:r>
        <w:rPr>
          <w:rFonts w:ascii="仿宋_GB2312" w:hAnsi="仿宋_GB2312" w:eastAsia="仿宋_GB2312"/>
          <w:b w:val="0"/>
          <w:color w:val="000000"/>
          <w:sz w:val="32"/>
        </w:rPr>
        <w:t>平度市新河精细化工特色产业集群为海湾精化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海湾精化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染料行业下游高度集中于纺织印染，与纺织服装出口景气度高度相关。当外需走弱、印染企业开工率下降时，染料需求与价格将同步承压。此外，环保管控趋严虽长期有利于合规龙头企业，但短期内下游印染企业停限产也会直接减少染料采购。</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行业利润向一体化、规模化、差异化企业集中。对企业而言，周期风险不可回避，只能通过降低成本分位、提高产品差异化程度、延伸高附加值产业链来削弱其冲击。金融机构在授信时应按周期底部情景进行压力测试，而非按景气高点的盈利水平核定额度。</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公司在苯胺黑等细分品种上份额极高，这既是优势也隐含风险：一是高份额品种的需求总量增长有限，进一步扩张的空间受限；二是过高份额可能引发下游客户主动培育第二供应商以分散风险；三是若出现技术替代（如新型着色剂替代传统苯胺类染料），现有优势可能被削弱。建议关注公司新品种储备与高端染料项目的市场开拓进展。</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海湾精化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公司国内客户以印染等中小制造企业为主，该类客户受环保与订单双重影响，信用状况波动较大，存在应收账款回收风险。海外客户虽结算方式相对稳妥，但需承担汇率波动、贸易摩擦与出口管制风险。客户集中度与账龄数据未公开披露，应作为尽调必查项。</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苯胺、硝酸等主要原料均为危险化学品，其供应受上游装置检修、运输管控、区域限产等因素影响，存在阶段性断供与价格飙升风险。同时，原料价格上涨向下游传导存在时滞，会阶段性压缩毛利。建议核查长协覆盖比例与安全库存策略。</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染料及中间体生产涉及硝化、磺化、缩合等重点监管危险工艺，废水含盐量高、色度深、可生化性差，废盐属危险废物，安全环保风险是公司最重大的风险类别。虽然公司已实施连续化清洁工艺改造并入驻专业化工园区，但仍需关注：重大危险源管控是否到位、废盐与危废处置渠道是否合法稳定、排污许可执行是否合规、园区整体环境容量是否构成产能扩张约束。</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公司财务数据未公开披露，难以直接评估其财务风险。基于25亿元项目投资与20亿元银行授信的规模关系判断，建设期内其债务水平与利息负担将明显上升，若项目投产进度延后或达产后价格低于预期，将形成较大偿债压力。建议按产品价格下行情景测算项目现金流对还本付息的覆盖倍数。</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公司治理与内控运行情况未公开披露，作为集团成员企业，其经营自主权边界、资金归集安排、关联交易规模均需核查。尤其应关注是否存在资金被集团或关联方占用的情形，以及单体主体是否拥有独立完整的资产权属与销售渠道。</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海湾精化的风险结构呈现"经营风险较低、合规风险较高、财务风险待核"的特征。其在苯胺黑、二乙芳胺等细分品种上的全球与全国领先地位，构成较强的经营安全垫；但染料中间体生产固有的安全环保风险，以及大额在建项目带来的财务压力，是两个需要持续监测的关键变量。总体风险可控，但须以获取完整财务与证照资料为前提。</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公司资金需求主要来自三方面：一是25亿元新项目的建设资金，属长期资本性支出；二是存量业务与新项目投产后的营运资金，包括原料采购、能源支出与应收账款占用；三是安全环保技改与智能化改造投入。其中项目建设资金已有20亿元银行授信对应，营运资金与技改资金存在较大的产业金融介入空间。</w:t>
      </w:r>
    </w:p>
    <w:p>
      <w:pPr>
        <w:spacing w:lineRule="exact" w:line="600" w:before="0" w:after="0"/>
        <w:ind w:firstLine="420"/>
        <w:jc w:val="both"/>
      </w:pPr>
      <w:r>
        <w:rPr>
          <w:rFonts w:ascii="仿宋_GB2312" w:hAnsi="仿宋_GB2312" w:eastAsia="仿宋_GB2312"/>
          <w:b w:val="0"/>
          <w:color w:val="000000"/>
          <w:sz w:val="32"/>
        </w:rPr>
        <w:t>从资金用途看，海湾精化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公司下游客户中不乏规模较大的印染企业与出口贸易商，具备开展国内保理与出口保理的基础资产条件。国内保理可选择资信良好的大型印染客户应收账款开展；出口业务占比约30%，可结合信用证项下押汇、出口保理与出口信用保险组合运用，既加快资金回笼又对冲汇率与买方信用风险。</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海湾精化，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公司在染料产业链中处于中上游核心位置，既是园区内中小助剂与包装企业的重要客户，又是下游印染企业的关键供应商，具备成为供应链金融核心企业的条件。可依托其采购应付账款开展反向保理，帮助园区内中小配套企业获得低成本融资，同时优化自身账期管理。</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海湾精化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公司新建项目涉及大量反应釜、精馏塔、换热器、自动化控制系统与环保处理设施，其中通用性较强的公用工程设备、环保设备、仓储与物流设备适合开展融资租赁；而与装置本体深度集成的定制化设备残值处置困难，宜审慎评估并适度降低融资比例。</w:t>
      </w:r>
    </w:p>
    <w:p>
      <w:pPr>
        <w:spacing w:lineRule="exact" w:line="600" w:before="0" w:after="0"/>
        <w:ind w:firstLine="420"/>
        <w:jc w:val="both"/>
      </w:pPr>
      <w:r>
        <w:rPr>
          <w:rFonts w:ascii="仿宋_GB2312" w:hAnsi="仿宋_GB2312" w:eastAsia="仿宋_GB2312"/>
          <w:b w:val="0"/>
          <w:color w:val="000000"/>
          <w:sz w:val="32"/>
        </w:rPr>
        <w:t>海湾精化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公司自身规模较大，直接使用小额贷款的必要性不高；但其上游中小原料供应商、包装与运输服务商、园区内配套小微企业数量众多，可围绕公司订单与结算数据开发标准化小额信贷产品，实现批量获客与风险分散。</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海湾精化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建议对公司采取"项目贷款解决建设资金、保理与供应链融资解决营运资金、融资租赁解决技改设备"的组合方案，并将安全环保合规状况作为授信的前置条件与持续监测指标。鉴于公司财务数据未公开披露，实际授信前必须取得经审计的三年财务报告与完整证照资料。</w:t>
      </w:r>
    </w:p>
    <w:p>
      <w:pPr>
        <w:spacing w:lineRule="exact" w:line="600" w:before="0" w:after="0"/>
        <w:ind w:firstLine="420"/>
        <w:jc w:val="both"/>
      </w:pPr>
      <w:r>
        <w:rPr>
          <w:rFonts w:ascii="仿宋_GB2312" w:hAnsi="仿宋_GB2312" w:eastAsia="仿宋_GB2312"/>
          <w:b w:val="0"/>
          <w:color w:val="000000"/>
          <w:sz w:val="32"/>
        </w:rPr>
        <w:t>综合上述分析，建议对海湾精化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综合评价：青岛海湾精细化工有限公司是平度市新河精细化工特色产业集群染料板块的龙头企业，在苯胺黑（全球产能第一、份额超50%）、二乙芳胺（国内产能第一、市占约40%）等细分品种上具有全球性竞争地位，国内染料市场占有率约54%。公司依托新河化工产业园完成园区化布局与连续硝化等清洁工艺升级，收率提升约15%，产品出口40多个国家和地区、海外营收占比约30%，25亿元新项目达产后可实现年销售收入35亿元、年利税7.8亿元。总体判断，公司属于技术工艺扎实、市场地位突出、成长路径清晰的优质精细化工企业。</w:t>
      </w:r>
    </w:p>
    <w:p>
      <w:pPr>
        <w:spacing w:lineRule="exact" w:line="600" w:before="0" w:after="0"/>
        <w:ind w:firstLine="420"/>
        <w:jc w:val="both"/>
      </w:pPr>
      <w:r>
        <w:rPr>
          <w:rFonts w:ascii="仿宋_GB2312" w:hAnsi="仿宋_GB2312" w:eastAsia="仿宋_GB2312"/>
          <w:b w:val="0"/>
          <w:color w:val="000000"/>
          <w:sz w:val="32"/>
        </w:rPr>
        <w:t>主要短板在于：财务数据未公开披露，偿债能力与盈利质量无法直接评估；在建项目规模较大，建设期财务压力需要密切关注；染料中间体生产的安全环保风险始终是其经营的最大不确定性来源。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公司发展将主要取决于三条主线：一是25亿元新项目的投产与达产进度，决定其收入与利润的台阶式增长能否实现；二是高端染料与特种精细化学品的产品结构升级，决定其能否摆脱传统染料的周期束缚；三是国际市场的深耕，在全球染料产能向中国集中的趋势下，公司有望进一步提升海外份额。</w:t>
      </w:r>
    </w:p>
    <w:p>
      <w:pPr>
        <w:spacing w:lineRule="exact" w:line="600" w:before="0" w:after="0"/>
        <w:ind w:firstLine="420"/>
        <w:jc w:val="both"/>
      </w:pPr>
      <w:r>
        <w:rPr>
          <w:rFonts w:ascii="仿宋_GB2312" w:hAnsi="仿宋_GB2312" w:eastAsia="仿宋_GB2312"/>
          <w:b w:val="0"/>
          <w:color w:val="000000"/>
          <w:sz w:val="32"/>
        </w:rPr>
        <w:t>从集群维度看，平度新河精细化工特色产业集群正处于由规模扩张向高端化、绿色化转型的关键期，公司作为染料板块龙头，其技术路线选择与环保治理水平将对整个集群的可持续发展产生示范效应。</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公司：一是加快新项目建设与市场开拓的同步推进，避免产能投放与需求消化脱节；二是持续加大废盐资源化、高盐废水处理等环保技术投入，将环保合规能力转化为产能扩张的通行证；三是完善财务与经营信息的规范披露，提升在资本市场与银行体系的信用可识别度。</w:t>
      </w:r>
    </w:p>
    <w:p>
      <w:pPr>
        <w:spacing w:lineRule="exact" w:line="600" w:before="0" w:after="0"/>
        <w:ind w:firstLine="420"/>
        <w:jc w:val="both"/>
      </w:pPr>
      <w:r>
        <w:rPr>
          <w:rFonts w:ascii="仿宋_GB2312" w:hAnsi="仿宋_GB2312" w:eastAsia="仿宋_GB2312"/>
          <w:b w:val="0"/>
          <w:color w:val="000000"/>
          <w:sz w:val="32"/>
        </w:rPr>
        <w:t>此外，建议海湾精化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建议金融机构：一是将本企业列为集群内优先支持的重点客户，围绕其新项目建设与产业链协同设计中长期与短期组合方案；二是把安全环保事件作为一票否决与预警触发条件，建立与园区监管部门的信息联动机制；三是关注集团关联交易与资金归集对单体偿债能力的影响。</w:t>
      </w:r>
    </w:p>
    <w:p>
      <w:pPr>
        <w:spacing w:lineRule="exact" w:line="600" w:before="0" w:after="0"/>
        <w:ind w:firstLine="420"/>
        <w:jc w:val="both"/>
      </w:pPr>
      <w:r>
        <w:rPr>
          <w:rFonts w:ascii="仿宋_GB2312" w:hAnsi="仿宋_GB2312" w:eastAsia="仿宋_GB2312"/>
          <w:b w:val="0"/>
          <w:color w:val="000000"/>
          <w:sz w:val="32"/>
        </w:rPr>
        <w:t>总体而言，服务平度市新河精细化工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1．平度市人民政府、青岛市人民政府关于新河生态化工科技产业基地及精细化工产业集群的公开报道；</w:t>
      </w:r>
    </w:p>
    <w:p>
      <w:pPr>
        <w:spacing w:lineRule="exact" w:line="600" w:before="0" w:after="0"/>
        <w:jc w:val="left"/>
      </w:pPr>
      <w:r>
        <w:rPr>
          <w:rFonts w:ascii="仿宋_GB2312" w:hAnsi="仿宋_GB2312" w:eastAsia="仿宋_GB2312"/>
          <w:b w:val="0"/>
          <w:color w:val="000000"/>
          <w:sz w:val="28"/>
        </w:rPr>
        <w:t>2．公开媒体关于青岛海湾精细化工有限公司苯胺黑、二乙芳胺产能与市场份额、25亿元新项目投资及达产效益、连续硝化工艺收率提升、产品出口国家数量、银行授信规模的报道；</w:t>
      </w:r>
    </w:p>
    <w:p>
      <w:pPr>
        <w:spacing w:lineRule="exact" w:line="600" w:before="0" w:after="0"/>
        <w:jc w:val="left"/>
      </w:pPr>
      <w:r>
        <w:rPr>
          <w:rFonts w:ascii="仿宋_GB2312" w:hAnsi="仿宋_GB2312" w:eastAsia="仿宋_GB2312"/>
          <w:b w:val="0"/>
          <w:color w:val="000000"/>
          <w:sz w:val="28"/>
        </w:rPr>
        <w:t>3．平度市精细化工产业集群工业产值、染料及中间体产值、染料出口额等集群统计数据（2023—2024年）。</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