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平度市新河精细化工特色产业集群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青岛润农化工有限公司企业分析报告</w:t>
      </w:r>
    </w:p>
    <w:p>
      <w:pPr>
        <w:spacing w:lineRule="exact" w:line="600" w:before="0" w:after="0"/>
        <w:jc w:val="left"/>
      </w:pPr>
      <w:r>
        <w:rPr>
          <w:rFonts w:ascii="仿宋_GB2312" w:hAnsi="仿宋_GB2312" w:eastAsia="仿宋_GB2312"/>
          <w:b w:val="0"/>
          <w:color w:val="000000"/>
          <w:sz w:val="28"/>
        </w:rPr>
        <w:t>（本报告依据平度市人民政府及公开渠道信息编制，涉及未公开披露事项均如实标注。）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青岛润农化工有限公司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青岛市平度市（新河化工产业园区域）</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平度市新河精细化工特色产业集群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制品制造与应用（农药制剂加工）</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农药颗粒剂、水分散粒剂等环保剂型制剂</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润农化工有限公司位于青岛市平度市，是国内农药颗粒剂产能最大的企业，在水分散粒剂等环保剂型领域具备突出的规模优势。公司主要从事农药制剂的研发、生产与销售，产品覆盖杀虫、杀菌等多个系列，服务国内农业与园林市场。</w:t>
      </w:r>
    </w:p>
    <w:p>
      <w:pPr>
        <w:spacing w:lineRule="exact" w:line="600" w:before="0" w:after="0"/>
        <w:ind w:firstLine="420"/>
        <w:jc w:val="both"/>
      </w:pPr>
      <w:r>
        <w:rPr>
          <w:rFonts w:ascii="仿宋_GB2312" w:hAnsi="仿宋_GB2312" w:eastAsia="仿宋_GB2312"/>
          <w:b w:val="0"/>
          <w:color w:val="000000"/>
          <w:sz w:val="32"/>
        </w:rPr>
        <w:t>公司成立时间、注册资本、法定代表人、统一社会信用代码等工商登记事项在本次公开渠道检索中未获取。农药制剂生产实行严格的许可管理，企业须取得农药生产许可证并对每一产品取得农药登记证，建议在尽调中逐项核查证照的产品范围与有效期。</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公司股权结构与实际控制人信息未公开披露。从公开报道的经营特征看，公司为专注于制剂加工环节的民营企业，与集群内海利尔药业、瀚生生物等原药与制剂一体化企业形成配套互补关系。</w:t>
      </w:r>
    </w:p>
    <w:p>
      <w:pPr>
        <w:spacing w:lineRule="exact" w:line="600" w:before="0" w:after="0"/>
        <w:ind w:firstLine="420"/>
        <w:jc w:val="both"/>
      </w:pPr>
      <w:r>
        <w:rPr>
          <w:rFonts w:ascii="仿宋_GB2312" w:hAnsi="仿宋_GB2312" w:eastAsia="仿宋_GB2312"/>
          <w:b w:val="0"/>
          <w:color w:val="000000"/>
          <w:sz w:val="32"/>
        </w:rPr>
        <w:t>建议核查实际控制人持股与质押情况、是否存在与关联企业的原料互供及定价公允性问题、农药登记证的权属是否归属于经营主体（登记证转让与共享在农药行业较为常见，需特别关注）。</w:t>
      </w:r>
    </w:p>
    <w:p>
      <w:pPr>
        <w:spacing w:lineRule="exact" w:line="600" w:before="0" w:after="0"/>
        <w:ind w:firstLine="420"/>
        <w:jc w:val="both"/>
      </w:pPr>
      <w:r>
        <w:rPr>
          <w:rFonts w:ascii="仿宋_GB2312" w:hAnsi="仿宋_GB2312" w:eastAsia="仿宋_GB2312"/>
          <w:b w:val="0"/>
          <w:color w:val="000000"/>
          <w:sz w:val="32"/>
        </w:rPr>
        <w:t>从出资人属性看，润农化工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发展与我国农药剂型升级的政策导向高度契合。为减少乳油等溶剂型制剂对环境与操作者的危害，国家持续推动农药制剂水基化、颗粒化、低毒化改造，水分散粒剂、颗粒剂等环保剂型占比不断提升。公司把握这一趋势，聚焦造粒技术，形成了国内颗粒剂产能最大的规模地位。</w:t>
      </w:r>
    </w:p>
    <w:p>
      <w:pPr>
        <w:spacing w:lineRule="exact" w:line="600" w:before="0" w:after="0"/>
        <w:ind w:firstLine="420"/>
        <w:jc w:val="both"/>
      </w:pPr>
      <w:r>
        <w:rPr>
          <w:rFonts w:ascii="仿宋_GB2312" w:hAnsi="仿宋_GB2312" w:eastAsia="仿宋_GB2312"/>
          <w:b w:val="0"/>
          <w:color w:val="000000"/>
          <w:sz w:val="32"/>
        </w:rPr>
        <w:t>在生产条件方面，公司依托平度新河化工产业园的原料配套、集中供蒸汽与集中污水处理等基础设施，生产成本优于行业平均水平。据公开报道，公司计划扩产投资2亿元，进一步提升高端环保剂型产能，巩固细分领域龙头地位。</w:t>
      </w:r>
    </w:p>
    <w:p>
      <w:pPr>
        <w:spacing w:lineRule="exact" w:line="600" w:before="0" w:after="0"/>
        <w:ind w:firstLine="420"/>
        <w:jc w:val="both"/>
      </w:pPr>
      <w:r>
        <w:rPr>
          <w:rFonts w:ascii="仿宋_GB2312" w:hAnsi="仿宋_GB2312" w:eastAsia="仿宋_GB2312"/>
          <w:b w:val="0"/>
          <w:color w:val="000000"/>
          <w:sz w:val="32"/>
        </w:rPr>
        <w:t>总体看，润农化工的发展轨迹与精细化工与化工新材料行业演进和平度市新河精细化工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处于农药产业链的下游制剂环节，即以原药为原料，通过复配与剂型加工形成可直接施用的产品。制剂环节的核心价值在于配方能力、剂型工艺与登记证资源，与上游原药环节的重资产、强周期特征形成明显区别。</w:t>
      </w:r>
    </w:p>
    <w:p>
      <w:pPr>
        <w:spacing w:lineRule="exact" w:line="600" w:before="0" w:after="0"/>
        <w:ind w:firstLine="420"/>
        <w:jc w:val="both"/>
      </w:pPr>
      <w:r>
        <w:rPr>
          <w:rFonts w:ascii="仿宋_GB2312" w:hAnsi="仿宋_GB2312" w:eastAsia="仿宋_GB2312"/>
          <w:b w:val="0"/>
          <w:color w:val="000000"/>
          <w:sz w:val="32"/>
        </w:rPr>
        <w:t>在集群分工中，公司是"原药—制剂"链条的关键一环：平度农药产业2023年产值约95亿元、农药企业18家，海利尔、瀚生等龙头既有原药产能也有制剂产能，公司以颗粒剂专业化规模优势参与集群协同，承接园区内外原药企业的剂型加工需求。</w:t>
      </w:r>
    </w:p>
    <w:p>
      <w:pPr>
        <w:spacing w:lineRule="exact" w:line="600" w:before="0" w:after="0"/>
        <w:ind w:firstLine="420"/>
        <w:jc w:val="both"/>
      </w:pPr>
      <w:r>
        <w:rPr>
          <w:rFonts w:ascii="仿宋_GB2312" w:hAnsi="仿宋_GB2312" w:eastAsia="仿宋_GB2312"/>
          <w:b w:val="0"/>
          <w:color w:val="000000"/>
          <w:sz w:val="32"/>
        </w:rPr>
        <w:t>在平度市新河精细化工特色产业集群的产业链分工中，润农化工处于"制品制造与应用"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公司产品以颗粒剂与水分散粒剂为主，覆盖杀虫剂、杀菌剂等系列。颗粒剂适用于土壤处理与缓释施用，水分散粒剂兼具高含量、无粉尘、易分散等优点，是替代乳油与可湿性粉剂的主流环保剂型。</w:t>
      </w:r>
    </w:p>
    <w:p>
      <w:pPr>
        <w:spacing w:lineRule="exact" w:line="600" w:before="0" w:after="0"/>
        <w:ind w:firstLine="420"/>
        <w:jc w:val="both"/>
      </w:pPr>
      <w:r>
        <w:rPr>
          <w:rFonts w:ascii="仿宋_GB2312" w:hAnsi="仿宋_GB2312" w:eastAsia="仿宋_GB2312"/>
          <w:b w:val="0"/>
          <w:color w:val="000000"/>
          <w:sz w:val="32"/>
        </w:rPr>
        <w:t>分产品销量、单价与毛利率数据未公开披露。制剂行业产品品种繁多，建议获取按剂型与按登记证分类的销售结构，并核查主力品种的登记证到期与续展安排。</w:t>
      </w:r>
    </w:p>
    <w:p>
      <w:pPr>
        <w:spacing w:lineRule="exact" w:line="600" w:before="0" w:after="0"/>
        <w:ind w:firstLine="420"/>
        <w:jc w:val="both"/>
      </w:pPr>
      <w:r>
        <w:rPr>
          <w:rFonts w:ascii="仿宋_GB2312" w:hAnsi="仿宋_GB2312" w:eastAsia="仿宋_GB2312"/>
          <w:b w:val="0"/>
          <w:color w:val="000000"/>
          <w:sz w:val="32"/>
        </w:rPr>
        <w:t>从业务结构的稳健性看，评价润农化工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公司为国内农药颗粒剂产能最大的企业，造粒技术国内领先。具体产能规模、产线数量与产能利用率未公开披露；公开报道提及计划扩产投资2亿元。</w:t>
      </w:r>
    </w:p>
    <w:p>
      <w:pPr>
        <w:spacing w:lineRule="exact" w:line="600" w:before="0" w:after="0"/>
        <w:ind w:firstLine="420"/>
        <w:jc w:val="both"/>
      </w:pPr>
      <w:r>
        <w:rPr>
          <w:rFonts w:ascii="仿宋_GB2312" w:hAnsi="仿宋_GB2312" w:eastAsia="仿宋_GB2312"/>
          <w:b w:val="0"/>
          <w:color w:val="000000"/>
          <w:sz w:val="32"/>
        </w:rPr>
        <w:t>资质方面，农药制剂企业须持有农药生产许可证（载明剂型范围）、各产品农药登记证、安全生产与排污许可等证照。农药登记证是该行业最核心的无形资产之一，其数量、品种结构与有效期直接决定企业的可销售产品范围，应作为尽调核心内容。</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公司客户主要包括农药经销商、农资连锁企业、农服平台以及委托加工的品牌企业。制剂销售具有明显季节性，春耕与病虫害高发期需求集中，通常采用预收款与短账期结算，回款条件优于多数工业品。</w:t>
      </w:r>
    </w:p>
    <w:p>
      <w:pPr>
        <w:spacing w:lineRule="exact" w:line="600" w:before="0" w:after="0"/>
        <w:ind w:firstLine="420"/>
        <w:jc w:val="both"/>
      </w:pPr>
      <w:r>
        <w:rPr>
          <w:rFonts w:ascii="仿宋_GB2312" w:hAnsi="仿宋_GB2312" w:eastAsia="仿宋_GB2312"/>
          <w:b w:val="0"/>
          <w:color w:val="000000"/>
          <w:sz w:val="32"/>
        </w:rPr>
        <w:t>客户名单与集中度未公开披露。若代工业务占比较高，需关注对少数委托方的依赖风险；若自主品牌销售为主，则需关注经销商渠道库存与账款风险。</w:t>
      </w:r>
    </w:p>
    <w:p>
      <w:pPr>
        <w:spacing w:lineRule="exact" w:line="600" w:before="0" w:after="0"/>
        <w:ind w:firstLine="420"/>
        <w:jc w:val="both"/>
      </w:pPr>
      <w:r>
        <w:rPr>
          <w:rFonts w:ascii="仿宋_GB2312" w:hAnsi="仿宋_GB2312" w:eastAsia="仿宋_GB2312"/>
          <w:b w:val="0"/>
          <w:color w:val="000000"/>
          <w:sz w:val="32"/>
        </w:rPr>
        <w:t>客户结构是判断润农化工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各类农药原药及载体、助剂、包装材料。原药价格波动较大，且部分品种供应集中度高。公司地处平度新河化工产业园，园区内海利尔、瀚生等企业具备原药产能，就近采购可显著降低危险品运输成本与供应风险，这是公司成本优于行业平均的重要原因。</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公司在国内农药颗粒剂细分市场产能规模第一。农药制剂行业整体较为分散，全国持有农药生产许可证的企业数量众多，但在特定剂型上形成规模优势的企业不多。随着行业集中度提升与环保剂型替代加速，专业化剂型加工企业的价值有望进一步凸显。</w:t>
      </w:r>
    </w:p>
    <w:p>
      <w:pPr>
        <w:spacing w:lineRule="exact" w:line="600" w:before="0" w:after="0"/>
        <w:ind w:firstLine="420"/>
        <w:jc w:val="both"/>
      </w:pPr>
      <w:r>
        <w:rPr>
          <w:rFonts w:ascii="仿宋_GB2312" w:hAnsi="仿宋_GB2312" w:eastAsia="仿宋_GB2312"/>
          <w:b w:val="0"/>
          <w:color w:val="000000"/>
          <w:sz w:val="32"/>
        </w:rPr>
        <w:t>判断润农化工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公司为非上市企业，财务数据未公开披露。可获取的替代指标为：国内农药颗粒剂产能最大、造粒技术国内领先、计划扩产投资2亿元、生产成本优于行业平均水平。</w:t>
      </w:r>
    </w:p>
    <w:p>
      <w:pPr>
        <w:spacing w:lineRule="exact" w:line="600" w:before="0" w:after="0"/>
        <w:ind w:firstLine="420"/>
        <w:jc w:val="both"/>
      </w:pPr>
      <w:r>
        <w:rPr>
          <w:rFonts w:ascii="仿宋_GB2312" w:hAnsi="仿宋_GB2312" w:eastAsia="仿宋_GB2312"/>
          <w:b w:val="0"/>
          <w:color w:val="000000"/>
          <w:sz w:val="32"/>
        </w:rPr>
        <w:t>据此可作初步判断：公司资产以制剂加工装置为主，相对原药企业投资强度较低、资产周转较快；2亿元扩产计划对其现有规模而言是较大投入，资金来源与还款安排需重点核查。</w:t>
      </w:r>
    </w:p>
    <w:p>
      <w:pPr>
        <w:spacing w:lineRule="exact" w:line="600" w:before="0" w:after="0"/>
        <w:ind w:firstLine="420"/>
        <w:jc w:val="both"/>
      </w:pPr>
      <w:r>
        <w:rPr>
          <w:rFonts w:ascii="仿宋_GB2312" w:hAnsi="仿宋_GB2312" w:eastAsia="仿宋_GB2312"/>
          <w:b w:val="0"/>
          <w:color w:val="000000"/>
          <w:sz w:val="32"/>
        </w:rPr>
        <w:t>润农化工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盈利水平未公开披露。农药制剂环节的毛利率通常高于原药环节但低于自主品牌农化企业，代工模式毛利率较低而稳定，自主品牌模式毛利率较高但需承担渠道与推广费用。建议按业务模式拆分分析其真实盈利结构。</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润农化工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制剂企业资产中，除厂房设备外，农药登记证等无形资产价值重要但往往账面体现不足；存货受季节性影响波动较大，销售旺季前备货规模显著上升。建议关注存货跌价与临效期产品处理情况。</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公司负债结构未公开披露。结合2亿元扩产计划判断，其融资需求将阶段性上升。建议核查现有有息负债规模与期限、抵押物状况、是否存在关联方担保。</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润农化工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数据未公开披露。农药制剂销售季节性突出，经营现金流在年度内波动明显：销售旺季前大量备货导致现金流出，旺季回款集中流入。建议按季度分析其现金流节奏，据此设计与经营周期匹配的融资期限。</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润农化工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同业对标可参照国内农药制剂类上市公司，关注其毛利率、存货周转与应收账款周转水平。需注意上市企业多为原药制剂一体化经营，与公司专业化剂型加工模式存在结构差异。</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公司治理架构与运行情况未公开披露。农药企业治理的特殊要求在于产品合规管理：登记证管理、标签标识合规、禁限用农药管控、产品质量追溯，均需有明确的责任部门与决策流程。</w:t>
      </w:r>
    </w:p>
    <w:p>
      <w:pPr>
        <w:spacing w:lineRule="exact" w:line="600" w:before="0" w:after="0"/>
        <w:ind w:firstLine="420"/>
        <w:jc w:val="both"/>
      </w:pPr>
      <w:r>
        <w:rPr>
          <w:rFonts w:ascii="仿宋_GB2312" w:hAnsi="仿宋_GB2312" w:eastAsia="仿宋_GB2312"/>
          <w:b w:val="0"/>
          <w:color w:val="000000"/>
          <w:sz w:val="32"/>
        </w:rPr>
        <w:t>润农化工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公司管理层信息未公开披露。建议核查主要负责人的农化行业经验、技术团队在造粒工艺领域的积累与稳定性，以及登记注册专业人员配置情况。</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公司员工规模与结构未公开披露。制剂生产的用工特点是季节性明显，旺季需大量包装与物流人力，建议核查其临时用工管理与劳动合规情况，以及接触农药人员的职业健康防护措施。</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平度市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情况未公开披露。农药制剂企业内控重点包括：配方与投料管控（防止隐性添加未登记成分这一行业高发违法行为）、标签标识审核、批次追溯、经销商渠道管理与窜货控制。其中隐性成分添加一旦被查处，将面临吊销证照的严重后果，属重大合规红线。</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核心技术在于造粒工艺。水分散粒剂与颗粒剂的技术难点在于兼顾崩解分散性与颗粒强度、控制粉尘与含量均匀度、实现高含量配方的稳定成型。公开报道称其造粒技术国内领先，这一能力与产能规模结合，构成其在细分剂型上的竞争优势。</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润农化工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公司成本优势来自园区配套与规模效应：园区集中供汽降低干燥与造粒环节的能源成本，集中污水处理降低环保投入，就近采购原药降低运输与仓储成本，最大产能规模带来固定成本摊薄与采购议价能力。</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农药制剂客户的黏性来自两方面：一是登记证与配方绑定，代工客户更换加工方需重新进行工艺验证与质量确认；二是经销商对产品田间表现与售后技术服务的依赖。公司在颗粒剂领域的规模与技术声誉，有助于维持稳定的客户关系。</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公司所处的平度新河精细化工特色产业集群2023年工业产值约230亿元，其中农药产业约95亿元、农药企业18家，丙硫菌唑全球产能占比约18%，产业链完整度较高。公司作为专业制剂加工企业，与园区内原药企业形成天然的上下游协同，这种"原药在侧、制剂在园"的空间结构，是其成本与交付优势的根本来源。</w:t>
      </w:r>
    </w:p>
    <w:p>
      <w:pPr>
        <w:spacing w:lineRule="exact" w:line="600" w:before="0" w:after="0"/>
        <w:ind w:firstLine="420"/>
        <w:jc w:val="both"/>
      </w:pPr>
      <w:r>
        <w:rPr>
          <w:rFonts w:ascii="仿宋_GB2312" w:hAnsi="仿宋_GB2312" w:eastAsia="仿宋_GB2312"/>
          <w:b w:val="0"/>
          <w:color w:val="000000"/>
          <w:sz w:val="32"/>
        </w:rPr>
        <w:t>平度市新河精细化工特色产业集群为润农化工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润农化工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农药行业需求相对刚性，受种植面积、病虫害发生程度与农产品价格影响。行业主要风险在于政策端：禁限用品种目录调整可能使相关产品退出市场，登记标准提高将增加维持成本，减量施药与生物农药替代趋势也将重塑需求结构。</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农药制剂行业产能相对过剩、竞争激烈，代工业务议价能力弱、同质化竞争明显。公司虽在颗粒剂产能上居首位，但若缺乏自主品牌与登记证资源支撑，易陷入"有产能无定价权"的境地。建议关注其自主品种占比与毛利水平。</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润农化工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经销商渠道的账款与库存风险是农药制剂企业的常见问题：为促销而放宽账期与铺货，易在销售不及预期时形成渠道积压与坏账。建议核查经销商返利政策、退换货安排与应收账龄结构。</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原药价格波动直接影响制剂成本，且部分原药供应集中于少数厂家，存在议价与断供风险。公司虽可依托园区就近采购，但同一园区内若发生统一停限产，原料供应与自身生产会同时受影响，这种风险关联性需予重视。</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农药制剂生产的环保风险主要来自粉尘、有机溶剂挥发、废水与包装废弃物（属危险废物）处置。安全方面涉及粉尘爆炸与有毒物料接触风险。合规方面最突出的红线是未登记成分添加与标签虚假标注，一旦查实将被严厉处罚并可能吊销许可，应作为授信一票否决事项予以核查。</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公司财务数据未公开披露。农药制剂企业季节性备货与渠道铺货会占用大量营运资金，若同时推进2亿元扩产项目，可能形成"营运资金+资本开支"双重压力。建议按销售不及预期情景测算其流动性承受能力。</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公司治理与关联交易情况未公开披露。农药行业登记证常存在跨主体共享或借用现象，需核查其合法性；同时关注实际控制人是否控制多家同业企业导致业务与资金混同。</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润农化工的风险特征为"需求较稳、竞争激烈、合规敏感"。其颗粒剂产能第一与园区配套成本优势构成经营基础，主要风险来自同质化竞争压价、渠道账款与产品合规。总体风险中等，适合以短期自偿性融资为主开展合作。</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公司资金需求主要为季节性备货与渠道铺货形成的营运资金，以及2亿元扩产项目的资本性支出。前者周期短、与销售节奏强相关，适合短期自偿性产品；后者需中长期资金匹配。</w:t>
      </w:r>
    </w:p>
    <w:p>
      <w:pPr>
        <w:spacing w:lineRule="exact" w:line="600" w:before="0" w:after="0"/>
        <w:ind w:firstLine="420"/>
        <w:jc w:val="both"/>
      </w:pPr>
      <w:r>
        <w:rPr>
          <w:rFonts w:ascii="仿宋_GB2312" w:hAnsi="仿宋_GB2312" w:eastAsia="仿宋_GB2312"/>
          <w:b w:val="0"/>
          <w:color w:val="000000"/>
          <w:sz w:val="32"/>
        </w:rPr>
        <w:t>从资金用途看，润农化工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公司下游经销商与代工委托方形成的应收账款可作为保理基础资产。其中大型农服平台与上市农化企业项下账款质量较优，适宜开展明保保理；中小经销商账款则宜采用有追索权保理并控制融资比例。</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润农化工，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公司可作为链上企业接入以园区原药龙头为核心的供应链金融体系：一方面通过预付款融资在原药价格低位锁定采购，另一方面依托订单与仓单开展存货融资，平滑季节性资金压力。</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润农化工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公司扩产涉及造粒机、干燥设备、粉碎与包装生产线、除尘与废气处理设施，通用性较强、二手流通性较好，适合融资租赁。建议以直接租赁方式支持新产线购置，租期与设备折旧年限匹配。</w:t>
      </w:r>
    </w:p>
    <w:p>
      <w:pPr>
        <w:spacing w:lineRule="exact" w:line="600" w:before="0" w:after="0"/>
        <w:ind w:firstLine="420"/>
        <w:jc w:val="both"/>
      </w:pPr>
      <w:r>
        <w:rPr>
          <w:rFonts w:ascii="仿宋_GB2312" w:hAnsi="仿宋_GB2312" w:eastAsia="仿宋_GB2312"/>
          <w:b w:val="0"/>
          <w:color w:val="000000"/>
          <w:sz w:val="32"/>
        </w:rPr>
        <w:t>润农化工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公司下游经销商与农资门店多为小微经营主体，春耕备货期资金需求集中而期限短，是小额贷款的典型适用场景。可围绕公司销售与发货数据开发"农资订货贷"类标准化产品。</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润农化工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建议以"季节性流动资金贷款+保理+仓单融资"覆盖营运需求，以融资租赁支持扩产设备购置，并将农药登记证与生产许可的有效性、产品抽检合格记录作为授信与续贷的硬性条件。</w:t>
      </w:r>
    </w:p>
    <w:p>
      <w:pPr>
        <w:spacing w:lineRule="exact" w:line="600" w:before="0" w:after="0"/>
        <w:ind w:firstLine="420"/>
        <w:jc w:val="both"/>
      </w:pPr>
      <w:r>
        <w:rPr>
          <w:rFonts w:ascii="仿宋_GB2312" w:hAnsi="仿宋_GB2312" w:eastAsia="仿宋_GB2312"/>
          <w:b w:val="0"/>
          <w:color w:val="000000"/>
          <w:sz w:val="32"/>
        </w:rPr>
        <w:t>综合上述分析，建议对润农化工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综合评价：青岛润农化工有限公司是国内农药颗粒剂产能最大的企业，在水分散粒剂等环保剂型领域具备突出规模优势，造粒技术国内领先，并计划扩产投资2亿元提升高端环保剂型产能。公司依托平度新河化工产业园的原料配套、集中供汽与集中污水处理等设施，生产成本优于行业平均水平，与集群内海利尔、瀚生等原药企业形成良好协同，是农药制剂专业化加工的代表性企业。</w:t>
      </w:r>
    </w:p>
    <w:p>
      <w:pPr>
        <w:spacing w:lineRule="exact" w:line="600" w:before="0" w:after="0"/>
        <w:ind w:firstLine="420"/>
        <w:jc w:val="both"/>
      </w:pPr>
      <w:r>
        <w:rPr>
          <w:rFonts w:ascii="仿宋_GB2312" w:hAnsi="仿宋_GB2312" w:eastAsia="仿宋_GB2312"/>
          <w:b w:val="0"/>
          <w:color w:val="000000"/>
          <w:sz w:val="32"/>
        </w:rPr>
        <w:t>主要不足在于：制剂行业竞争激烈、同质化明显，若自主品牌与登记证资源不足，易受压价影响；财务数据未公开披露；产品合规（尤其禁止隐性成分添加）是不可逾越的经营红线。</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农药剂型环保化替代仍将持续推进，水分散粒剂、颗粒剂等剂型占比有望继续提升，公司作为规模领先者将直接受益。同时，随着农业生产规模化、专业化服务兴起，面向农服平台的大包装、定制化产品需求增长，为公司提供了新的增长通道。</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建议公司：一是在扩大产能的同时加强自主登记证与自主品牌建设，提升定价能力；二是严格执行配方与投料管控，把产品合规作为生存底线；三是优化经销商信用管理，控制渠道账款与库存风险。</w:t>
      </w:r>
    </w:p>
    <w:p>
      <w:pPr>
        <w:spacing w:lineRule="exact" w:line="600" w:before="0" w:after="0"/>
        <w:ind w:firstLine="420"/>
        <w:jc w:val="both"/>
      </w:pPr>
      <w:r>
        <w:rPr>
          <w:rFonts w:ascii="仿宋_GB2312" w:hAnsi="仿宋_GB2312" w:eastAsia="仿宋_GB2312"/>
          <w:b w:val="0"/>
          <w:color w:val="000000"/>
          <w:sz w:val="32"/>
        </w:rPr>
        <w:t>此外，建议润农化工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建议金融机构结合农药行业强季节性特征设计"旺季前投放、回款期收回"的短期自偿产品，并将产品质量抽检与行政处罚信息纳入预警监测，实现风险早识别早处置。</w:t>
      </w:r>
    </w:p>
    <w:p>
      <w:pPr>
        <w:spacing w:lineRule="exact" w:line="600" w:before="0" w:after="0"/>
        <w:ind w:firstLine="420"/>
        <w:jc w:val="both"/>
      </w:pPr>
      <w:r>
        <w:rPr>
          <w:rFonts w:ascii="仿宋_GB2312" w:hAnsi="仿宋_GB2312" w:eastAsia="仿宋_GB2312"/>
          <w:b w:val="0"/>
          <w:color w:val="000000"/>
          <w:sz w:val="32"/>
        </w:rPr>
        <w:t>总体而言，服务平度市新河精细化工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1．平度市人民政府及公开媒体关于青岛润农化工有限公司颗粒剂产能规模、造粒技术水平、园区配套成本优势与扩产投资计划的报道；</w:t>
      </w:r>
    </w:p>
    <w:p>
      <w:pPr>
        <w:spacing w:lineRule="exact" w:line="600" w:before="0" w:after="0"/>
        <w:jc w:val="left"/>
      </w:pPr>
      <w:r>
        <w:rPr>
          <w:rFonts w:ascii="仿宋_GB2312" w:hAnsi="仿宋_GB2312" w:eastAsia="仿宋_GB2312"/>
          <w:b w:val="0"/>
          <w:color w:val="000000"/>
          <w:sz w:val="28"/>
        </w:rPr>
        <w:t>2．平度市农药产业产值、农药企业数量、丙硫菌唑全球产能占比等集群统计数据（2023—2025年）。</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