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平度市新河精细化工特色产业集群</w:t>
      </w:r>
    </w:p>
    <w:p>
      <w:pPr>
        <w:spacing w:lineRule="exact" w:line="600" w:before="240" w:after="240"/>
        <w:ind w:firstLine="0"/>
        <w:jc w:val="center"/>
      </w:pPr>
      <w:r>
        <w:rPr>
          <w:rFonts w:ascii="方正小标宋简体" w:hAnsi="方正小标宋简体" w:eastAsia="方正小标宋简体"/>
          <w:b w:val="0"/>
          <w:color w:val="000000"/>
          <w:sz w:val="44"/>
        </w:rPr>
        <w:t>青岛红蝶新材料有限公司企业分析报告</w:t>
      </w:r>
    </w:p>
    <w:p>
      <w:pPr>
        <w:spacing w:lineRule="exact" w:line="600" w:before="0" w:after="0"/>
        <w:jc w:val="left"/>
      </w:pPr>
      <w:r>
        <w:rPr>
          <w:rFonts w:ascii="仿宋_GB2312" w:hAnsi="仿宋_GB2312" w:eastAsia="仿宋_GB2312"/>
          <w:b w:val="0"/>
          <w:color w:val="000000"/>
          <w:sz w:val="28"/>
        </w:rPr>
        <w:t>（本报告依据平度市人民政府及权威媒体公开报道信息编制，涉及未公开披露事项均如实标注。）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青岛红蝶新材料有限公司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青岛市平度市（新河化工产业园区域）</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平度市新河精细化工特色产业集群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材料合成与改性（钡盐系精细化工新材料）</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药用硫酸钡及高纯硫酸钡系列产品</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本次公开渠道检索未获取，建议以工商登记及企业提供资料为准</w:t>
            </w:r>
          </w:p>
        </w:tc>
      </w:tr>
    </w:tbl>
    <w:p>
      <w:pPr>
        <w:spacing w:lineRule="exact" w:line="600" w:before="0" w:after="0"/>
        <w:ind w:firstLine="420"/>
        <w:jc w:val="both"/>
      </w:pPr>
      <w:r>
        <w:rPr>
          <w:rFonts w:ascii="仿宋_GB2312" w:hAnsi="仿宋_GB2312" w:eastAsia="仿宋_GB2312"/>
          <w:b w:val="0"/>
          <w:color w:val="000000"/>
          <w:sz w:val="32"/>
        </w:rPr>
        <w:t>青岛红蝶新材料有限公司位于青岛市平度市，是国内药用硫酸钡领域的细分行业隐形冠军。据公开报道，公司药用硫酸钡产品占全国市场份额约95%，处于绝对领先地位，产品纯度达99.5%，主要应用于医药造影（X射线钡餐造影剂）与高端材料领域，并正向电子级硫酸钡方向延伸。</w:t>
      </w:r>
    </w:p>
    <w:p>
      <w:pPr>
        <w:spacing w:lineRule="exact" w:line="600" w:before="0" w:after="0"/>
        <w:ind w:firstLine="420"/>
        <w:jc w:val="both"/>
      </w:pPr>
      <w:r>
        <w:rPr>
          <w:rFonts w:ascii="仿宋_GB2312" w:hAnsi="仿宋_GB2312" w:eastAsia="仿宋_GB2312"/>
          <w:b w:val="0"/>
          <w:color w:val="000000"/>
          <w:sz w:val="32"/>
        </w:rPr>
        <w:t>公司成立时间、注册资本、法定代表人、统一社会信用代码等工商登记事项在本次公开渠道检索中未获取，报告不作推测。实际业务中应调取工商登记完整信息，并核验药品生产相关资质（药用辅料登记）、危险化学品与安全生产相关证照、排污许可证等文件。</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公司股权结构、股东名册与实际控制人信息未公开披露。从公开报道的经营特征判断，公司具有典型民营企业的决策效率与市场敏感度，能够在药用辅料这一监管严格、规模有限的细分市场中长期保持绝对领先份额，说明其战略选择具有高度专注性。</w:t>
      </w:r>
    </w:p>
    <w:p>
      <w:pPr>
        <w:spacing w:lineRule="exact" w:line="600" w:before="0" w:after="0"/>
        <w:ind w:firstLine="420"/>
        <w:jc w:val="both"/>
      </w:pPr>
      <w:r>
        <w:rPr>
          <w:rFonts w:ascii="仿宋_GB2312" w:hAnsi="仿宋_GB2312" w:eastAsia="仿宋_GB2312"/>
          <w:b w:val="0"/>
          <w:color w:val="000000"/>
          <w:sz w:val="32"/>
        </w:rPr>
        <w:t>建议在尽职调查中重点核查：实际控制人及其一致行动人的持股与质押情况、是否存在对外担保与关联企业资金占用、核心技术与商标等无形资产的权属是否清晰归属于经营主体。</w:t>
      </w:r>
    </w:p>
    <w:p>
      <w:pPr>
        <w:spacing w:lineRule="exact" w:line="600" w:before="0" w:after="0"/>
        <w:ind w:firstLine="420"/>
        <w:jc w:val="both"/>
      </w:pPr>
      <w:r>
        <w:rPr>
          <w:rFonts w:ascii="仿宋_GB2312" w:hAnsi="仿宋_GB2312" w:eastAsia="仿宋_GB2312"/>
          <w:b w:val="0"/>
          <w:color w:val="000000"/>
          <w:sz w:val="32"/>
        </w:rPr>
        <w:t>从出资人属性看，红蝶新材料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发展历程围绕"钡盐—药用硫酸钡—电子级硫酸钡"的产品升级路径展开。药用硫酸钡属于药用辅料范畴，需满足药典标准并接受药品监管部门的关联审评，技术门槛与合规门槛均显著高于工业级硫酸钡，公司由工业级向药用级的跃升，是其获得高份额与定价能力的关键一步。</w:t>
      </w:r>
    </w:p>
    <w:p>
      <w:pPr>
        <w:spacing w:lineRule="exact" w:line="600" w:before="0" w:after="0"/>
        <w:ind w:firstLine="420"/>
        <w:jc w:val="both"/>
      </w:pPr>
      <w:r>
        <w:rPr>
          <w:rFonts w:ascii="仿宋_GB2312" w:hAnsi="仿宋_GB2312" w:eastAsia="仿宋_GB2312"/>
          <w:b w:val="0"/>
          <w:color w:val="000000"/>
          <w:sz w:val="32"/>
        </w:rPr>
        <w:t>在绿色制造方面，公司获评省级绿色工厂，实施余热回收，废水回用率超过75%、废盐资源化率达100%。据公开报道，公司2024年获得绿色信贷3亿元支持产能升级，研发投入保持年增约15%，并与青岛大学等高校共建工程中心，呈现"绿色化+高端化"双线推进的发展态势。</w:t>
      </w:r>
    </w:p>
    <w:p>
      <w:pPr>
        <w:spacing w:lineRule="exact" w:line="600" w:before="0" w:after="0"/>
        <w:ind w:firstLine="420"/>
        <w:jc w:val="both"/>
      </w:pPr>
      <w:r>
        <w:rPr>
          <w:rFonts w:ascii="仿宋_GB2312" w:hAnsi="仿宋_GB2312" w:eastAsia="仿宋_GB2312"/>
          <w:b w:val="0"/>
          <w:color w:val="000000"/>
          <w:sz w:val="32"/>
        </w:rPr>
        <w:t>总体看，红蝶新材料的发展轨迹与精细化工与化工新材料行业演进和平度市新河精细化工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在产业链中处于"材料合成与改性"环节，以重晶石等钡资源为起点，通过沉淀法工艺生产高纯硫酸钡，向下游医药、涂料、塑料、电子材料等行业供货。药用硫酸钡全国份额约95%的市场地位，使公司在该细分品种上具备很强的定价权与抗周期能力。</w:t>
      </w:r>
    </w:p>
    <w:p>
      <w:pPr>
        <w:spacing w:lineRule="exact" w:line="600" w:before="0" w:after="0"/>
        <w:ind w:firstLine="420"/>
        <w:jc w:val="both"/>
      </w:pPr>
      <w:r>
        <w:rPr>
          <w:rFonts w:ascii="仿宋_GB2312" w:hAnsi="仿宋_GB2312" w:eastAsia="仿宋_GB2312"/>
          <w:b w:val="0"/>
          <w:color w:val="000000"/>
          <w:sz w:val="32"/>
        </w:rPr>
        <w:t>需要客观指出，药用硫酸钡的市场总量有限，单一品种的天花板较为明确。公司向电子级硫酸钡延伸，正是为突破成长天花板所做的战略布局——电子级产品对纯度、粒径分布、金属离子含量要求更为严苛，若能实现产业化并进入电子材料供应链，将打开新的成长空间。</w:t>
      </w:r>
    </w:p>
    <w:p>
      <w:pPr>
        <w:spacing w:lineRule="exact" w:line="600" w:before="0" w:after="0"/>
        <w:ind w:firstLine="420"/>
        <w:jc w:val="both"/>
      </w:pPr>
      <w:r>
        <w:rPr>
          <w:rFonts w:ascii="仿宋_GB2312" w:hAnsi="仿宋_GB2312" w:eastAsia="仿宋_GB2312"/>
          <w:b w:val="0"/>
          <w:color w:val="000000"/>
          <w:sz w:val="32"/>
        </w:rPr>
        <w:t>在平度市新河精细化工特色产业集群的产业链分工中，红蝶新材料处于"材料合成与改性"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公司产品以药用硫酸钡为核心，辅以工业高纯硫酸钡等系列品种。药用硫酸钡的核心技术指标包括纯度、重金属与可溶性钡盐限量、粒径与分散性，公开报道显示公司产品纯度达99.5%，满足医药造影用途要求。</w:t>
      </w:r>
    </w:p>
    <w:p>
      <w:pPr>
        <w:spacing w:lineRule="exact" w:line="600" w:before="0" w:after="0"/>
        <w:ind w:firstLine="420"/>
        <w:jc w:val="both"/>
      </w:pPr>
      <w:r>
        <w:rPr>
          <w:rFonts w:ascii="仿宋_GB2312" w:hAnsi="仿宋_GB2312" w:eastAsia="仿宋_GB2312"/>
          <w:b w:val="0"/>
          <w:color w:val="000000"/>
          <w:sz w:val="32"/>
        </w:rPr>
        <w:t>分产品的销量、单价与毛利率数据未公开披露。考虑到药用级与工业级产品的价格差异显著，建议在尽调中获取分品级销售结构，以准确判断其盈利质量与产品升级进展。</w:t>
      </w:r>
    </w:p>
    <w:p>
      <w:pPr>
        <w:spacing w:lineRule="exact" w:line="600" w:before="0" w:after="0"/>
        <w:ind w:firstLine="420"/>
        <w:jc w:val="both"/>
      </w:pPr>
      <w:r>
        <w:rPr>
          <w:rFonts w:ascii="仿宋_GB2312" w:hAnsi="仿宋_GB2312" w:eastAsia="仿宋_GB2312"/>
          <w:b w:val="0"/>
          <w:color w:val="000000"/>
          <w:sz w:val="32"/>
        </w:rPr>
        <w:t>从业务结构的稳健性看，评价红蝶新材料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公司采用沉淀法高纯工艺生产硫酸钡。该工艺的关键在于反应条件控制与后续洗涤、干燥、粉碎分级环节，直接决定产品纯度与粒度分布。具体产能规模、装置套数与产能利用率未公开披露。</w:t>
      </w:r>
    </w:p>
    <w:p>
      <w:pPr>
        <w:spacing w:lineRule="exact" w:line="600" w:before="0" w:after="0"/>
        <w:ind w:firstLine="420"/>
        <w:jc w:val="both"/>
      </w:pPr>
      <w:r>
        <w:rPr>
          <w:rFonts w:ascii="仿宋_GB2312" w:hAnsi="仿宋_GB2312" w:eastAsia="仿宋_GB2312"/>
          <w:b w:val="0"/>
          <w:color w:val="000000"/>
          <w:sz w:val="32"/>
        </w:rPr>
        <w:t>资质方面，药用辅料需完成药用辅料登记并接受制剂企业的关联审评与现场审计，同时须符合《药品生产质量管理规范》相关要求；生产过程中涉及的硫化钡、硫酸等物料还须满足危险化学品管理要求。建议逐项核查资质覆盖范围与有效期。</w:t>
      </w:r>
    </w:p>
    <w:p>
      <w:pPr>
        <w:spacing w:lineRule="exact" w:line="600" w:before="0" w:after="0"/>
        <w:ind w:firstLine="420"/>
        <w:jc w:val="both"/>
      </w:pPr>
      <w:r>
        <w:rPr>
          <w:rFonts w:ascii="仿宋_GB2312" w:hAnsi="仿宋_GB2312" w:eastAsia="仿宋_GB2312"/>
          <w:b w:val="0"/>
          <w:color w:val="000000"/>
          <w:sz w:val="32"/>
        </w:rPr>
        <w:t>化工与新能源材料行业属于典型的资本密集、许可密集行业。产能的有效性不仅取决于设计规模，更取决于四项约束：一是安全生产许可与危险化学品经营（生产）许可的品种范围与有效期；二是环评批复、排污许可中对产量、排放总量、特征污染物的限定；三是能耗与碳排放指标，在能耗双控和碳排放双控转换背景下，新增产能须取得用能权、能耗置换等前置条件；四是园区准入与安全距离、"三线一单"等空间管制要求。以上任一条件不满足，名义产能都可能无法转化为有效产量。建议将各类证照清单、有效期、许可产能与实际产量的匹配情况纳入尽调必查项。</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以医药制剂企业（造影剂生产企业）为主，兼有涂料、塑料、橡胶等工业客户。医药客户的显著特点是认证周期长、一旦纳入供应体系极为稳定，但对质量一致性与变更管理要求严苛，任何工艺或原料变更均需事先报备与再验证。</w:t>
      </w:r>
    </w:p>
    <w:p>
      <w:pPr>
        <w:spacing w:lineRule="exact" w:line="600" w:before="0" w:after="0"/>
        <w:ind w:firstLine="420"/>
        <w:jc w:val="both"/>
      </w:pPr>
      <w:r>
        <w:rPr>
          <w:rFonts w:ascii="仿宋_GB2312" w:hAnsi="仿宋_GB2312" w:eastAsia="仿宋_GB2312"/>
          <w:b w:val="0"/>
          <w:color w:val="000000"/>
          <w:sz w:val="32"/>
        </w:rPr>
        <w:t>客户名单、集中度与账期数据未公开披露。鉴于其份额高达95%，客户基础应较为广泛且稳定，应收账款风险总体可控，但仍需核查具体账龄结构。</w:t>
      </w:r>
    </w:p>
    <w:p>
      <w:pPr>
        <w:spacing w:lineRule="exact" w:line="600" w:before="0" w:after="0"/>
        <w:ind w:firstLine="420"/>
        <w:jc w:val="both"/>
      </w:pPr>
      <w:r>
        <w:rPr>
          <w:rFonts w:ascii="仿宋_GB2312" w:hAnsi="仿宋_GB2312" w:eastAsia="仿宋_GB2312"/>
          <w:b w:val="0"/>
          <w:color w:val="000000"/>
          <w:sz w:val="32"/>
        </w:rPr>
        <w:t>客户结构是判断红蝶新材料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原料为重晶石（硫酸钡矿）及硫、煤等还原与能源物料。重晶石属于矿产资源，国内主要产区集中，价格受矿山开采政策、环保督察与运输成本影响。公开报道显示公司实施余热回收、废水回用率超75%、废盐资源化率100%，在能源与资源利用效率上具有明显优势，有助于降低原料与能源成本敞口。</w:t>
      </w:r>
    </w:p>
    <w:p>
      <w:pPr>
        <w:spacing w:lineRule="exact" w:line="600" w:before="0" w:after="0"/>
        <w:ind w:firstLine="420"/>
        <w:jc w:val="both"/>
      </w:pPr>
      <w:r>
        <w:rPr>
          <w:rFonts w:ascii="仿宋_GB2312" w:hAnsi="仿宋_GB2312" w:eastAsia="仿宋_GB2312"/>
          <w:b w:val="0"/>
          <w:color w:val="000000"/>
          <w:sz w:val="32"/>
        </w:rPr>
        <w:t>原料成本在化工及电池材料企业营业成本中通常占据主导地位，原料价格波动对毛利率的影响远超其他因素。企业应对手段主要有四：一是纵向一体化，通过自建上游装置提升自供率，锁定成本；二是长协与套期保值，与上游签订年度框架协议并在期货市场对冲；三是配方与工艺优化，降低单耗或实现原料替代；四是价格联动条款，在销售合同中约定随原料价格调整售价，将波动向下游传导。建议核查企业前五大供应商集中度、长协覆盖比例、原料库存周转天数以及是否存在单一来源、进口依赖等断供风险点。</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公司药用硫酸钡全国市场份额约95%，在该细分领域近乎独占。这种格局的形成，源于三方面门槛的叠加：药用辅料注册与关联审评的合规门槛、高纯度稳定生产的技术门槛、以及市场总量有限导致新进入者投资回报不足的经济门槛。三重门槛共同构成了公司的护城河。</w:t>
      </w:r>
    </w:p>
    <w:p>
      <w:pPr>
        <w:spacing w:lineRule="exact" w:line="600" w:before="0" w:after="0"/>
        <w:ind w:firstLine="420"/>
        <w:jc w:val="both"/>
      </w:pPr>
      <w:r>
        <w:rPr>
          <w:rFonts w:ascii="仿宋_GB2312" w:hAnsi="仿宋_GB2312" w:eastAsia="仿宋_GB2312"/>
          <w:b w:val="0"/>
          <w:color w:val="000000"/>
          <w:sz w:val="32"/>
        </w:rPr>
        <w:t>判断红蝶新材料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公司为非上市企业，财务数据未公开披露。可获取的替代指标包括：2024年获得绿色信贷3亿元支持产能升级、研发投入保持年增约15%、获评省级绿色工厂、废水回用率超75%、废盐资源化率100%。</w:t>
      </w:r>
    </w:p>
    <w:p>
      <w:pPr>
        <w:spacing w:lineRule="exact" w:line="600" w:before="0" w:after="0"/>
        <w:ind w:firstLine="420"/>
        <w:jc w:val="both"/>
      </w:pPr>
      <w:r>
        <w:rPr>
          <w:rFonts w:ascii="仿宋_GB2312" w:hAnsi="仿宋_GB2312" w:eastAsia="仿宋_GB2312"/>
          <w:b w:val="0"/>
          <w:color w:val="000000"/>
          <w:sz w:val="32"/>
        </w:rPr>
        <w:t>由上述信息可作三点初步判断：一是3亿元绿色信贷表明公司具备较好的银行信用与合规记录，且有明确的产能升级投资计划；二是研发投入持续增长说明其盈利状况足以支撑研发开支；三是绿色制造指标优异意味着其环保合规成本相对可控，在环保趋严背景下具有成本优势。</w:t>
      </w:r>
    </w:p>
    <w:p>
      <w:pPr>
        <w:spacing w:lineRule="exact" w:line="600" w:before="0" w:after="0"/>
        <w:ind w:firstLine="420"/>
        <w:jc w:val="both"/>
      </w:pPr>
      <w:r>
        <w:rPr>
          <w:rFonts w:ascii="仿宋_GB2312" w:hAnsi="仿宋_GB2312" w:eastAsia="仿宋_GB2312"/>
          <w:b w:val="0"/>
          <w:color w:val="000000"/>
          <w:sz w:val="32"/>
        </w:rPr>
        <w:t>红蝶新材料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盈利水平未公开披露。从行业规律判断，药用辅料的毛利率通常显著高于工业级同类产品，在细分市场份额高达95%的情况下，公司应具备较强的价格传导能力与相对稳定的盈利水平。但需注意医药客户对供应商降价的常态化要求，以及重晶石价格波动对成本的影响。</w:t>
      </w:r>
    </w:p>
    <w:p>
      <w:pPr>
        <w:spacing w:lineRule="exact" w:line="600" w:before="0" w:after="0"/>
        <w:ind w:firstLine="420"/>
        <w:jc w:val="both"/>
      </w:pPr>
      <w:r>
        <w:rPr>
          <w:rFonts w:ascii="仿宋_GB2312" w:hAnsi="仿宋_GB2312" w:eastAsia="仿宋_GB2312"/>
          <w:b w:val="0"/>
          <w:color w:val="000000"/>
          <w:sz w:val="32"/>
        </w:rPr>
        <w:t>化工新材料企业的盈利能力本质上由"价差"驱动，即产品价格与主要原料价格之间的差额。分析时应将毛利率变动拆解为量、价、成本三项因素：在行业景气上行期，价格上涨快于成本，毛利率扩张；在下行期，产品价格下跌而原料价格具有刚性，毛利率快速收窄甚至转负。判断盈利可持续性的关键，不在于某一年度毛利率的绝对高低，而在于企业在周期底部的成本分位——处于行业成本曲线左侧的企业能够在低谷期维持开工并挤出高成本产能，从而在复苏期获得超额收益。因此对红蝶新材料的盈利评价，应重点考察其单位产品能耗、原料自供率、装置规模与一体化程度等决定成本位次的结构性因素。</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公司资产结构未公开披露。同类企业一般以生产装置、窑炉与粉体加工设备等固定资产为主，存货中重晶石原料占比较高。建议核查固定资产成新率、在建工程进度以及存货周转情况。</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公司负债结构未公开披露。已知2024年获得绿色信贷3亿元，结合产能升级投资安排，其有息债务规模与期限结构需重点核查，特别关注绿色信贷的用途合规与还款来源安排。</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红蝶新材料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公司现金流数据未公开披露。药用辅料业务客户相对优质、回款稳定，经营现金流应具备一定韧性；产能升级投入将带来阶段性投资现金流出。建议获取近三年现金流量表与银行流水予以验证。</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红蝶新材料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公司所处的药用硫酸钡细分市场规模有限，国内缺乏可直接对标的上市公司。可参照钡盐、功能性粉体材料及药用辅料行业企业的毛利率与资产负债率水平进行间接比较，并重点从份额与定价权角度作定性判断。</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有限责任公司，治理架构与运行情况未公开披露。民营中小企业普遍存在决策集中、制度留痕不足的问题，但公司能够长期通过医药客户的严格审计，说明其质量管理体系的规范程度较高，这通常也会外溢为整体管理水平的提升。</w:t>
      </w:r>
    </w:p>
    <w:p>
      <w:pPr>
        <w:spacing w:lineRule="exact" w:line="600" w:before="0" w:after="0"/>
        <w:ind w:firstLine="420"/>
        <w:jc w:val="both"/>
      </w:pPr>
      <w:r>
        <w:rPr>
          <w:rFonts w:ascii="仿宋_GB2312" w:hAnsi="仿宋_GB2312" w:eastAsia="仿宋_GB2312"/>
          <w:b w:val="0"/>
          <w:color w:val="000000"/>
          <w:sz w:val="32"/>
        </w:rPr>
        <w:t>红蝶新材料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公司管理层信息未公开披露。公开报道显示公司与青岛大学等高校共建工程中心，表明管理层重视产学研协同与技术储备。建议核查核心技术人员的任职稳定性与激励安排。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公司员工规模与结构未公开披露。高纯粉体材料生产对过程控制与检验人员的专业要求较高，药用辅料还需配备独立的质量管理与质量受权人员。建议核查质量与研发人员占比、关键岗位持证情况。</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平度市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情况未公开披露。药用辅料企业的内控重点在于质量管理体系：物料追溯、批记录管理、变更与偏差处理、留样与稳定性考察、客户审计整改闭环。上述体系的有效运行是其95%份额得以维持的基础，应作为尽调重点。</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体现在沉淀法高纯硫酸钡的工艺控制能力：在保证纯度达99.5%的同时，实现粒径分布、白度、分散性等多项指标的稳定一致，并满足药典对可溶性钡盐、重金属等限量的严格要求。这类能力高度依赖长期积累的工艺参数与质量控制经验，难以被短期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红蝶新材料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主要来自资源综合利用：余热回收降低能源单耗，废水回用率超75%降低新水消耗与污水处理费用，废盐资源化率100%将危废处置成本转化为副产品收益。在环保成本刚性上升的行业环境中，这类循环经济能力构成实质性成本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药用辅料一旦进入制剂企业的注册工艺，客户更换供应商需重新开展关联审评与工艺验证，成本高、周期长、监管风险大，因此客户黏性极强。公司95%的全国份额正是这种锁定效应的结果。</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公司地处平度新河精细化工特色产业集群，可共享园区的集中供汽、污水处理、危废处置与检测平台，并与海湾精化、赛诺新材料等企业形成原料与公用工程协同。集群2023年工业产值约230亿元，其中新材料助剂板块约60亿元，为公司向电子级产品延伸提供了配套基础。</w:t>
      </w:r>
    </w:p>
    <w:p>
      <w:pPr>
        <w:spacing w:lineRule="exact" w:line="600" w:before="0" w:after="0"/>
        <w:ind w:firstLine="420"/>
        <w:jc w:val="both"/>
      </w:pPr>
      <w:r>
        <w:rPr>
          <w:rFonts w:ascii="仿宋_GB2312" w:hAnsi="仿宋_GB2312" w:eastAsia="仿宋_GB2312"/>
          <w:b w:val="0"/>
          <w:color w:val="000000"/>
          <w:sz w:val="32"/>
        </w:rPr>
        <w:t>平度市新河精细化工特色产业集群为红蝶新材料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红蝶新材料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药用硫酸钡需求与钡餐造影检查量相关，总体增长平稳、周期性弱，行业风险主要不在需求端而在供给端与监管端：一是医学影像技术进步可能部分替代传统钡餐造影；二是药用辅料监管标准提升将增加合规成本；三是重晶石资源与环保政策变化影响原料供应。</w:t>
      </w:r>
    </w:p>
    <w:p>
      <w:pPr>
        <w:spacing w:lineRule="exact" w:line="600" w:before="0" w:after="0"/>
        <w:ind w:firstLine="420"/>
        <w:jc w:val="both"/>
      </w:pPr>
      <w:r>
        <w:rPr>
          <w:rFonts w:ascii="仿宋_GB2312" w:hAnsi="仿宋_GB2312" w:eastAsia="仿宋_GB2312"/>
          <w:b w:val="0"/>
          <w:color w:val="000000"/>
          <w:sz w:val="32"/>
        </w:rPr>
        <w:t>化工行业具有明显的强周期属性，产品价格受供需格局、原油与煤炭等上游原料价格、下游需求景气度多重影响。近年来国内多数大宗与通用化工品种进入产能集中释放期，价格与价差承压，行业利润向一体化、规模化、差异化企业集中。对企业而言，周期风险不可回避，只能通过降低成本分位、提高产品差异化程度、延伸高附加值产业链来削弱其冲击。金融机构在授信时应按周期底部情景进行压力测试，而非按景气高点的盈利水平核定额度。</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公司份额高达95%，进一步提升空间有限，成长必须依靠品类扩张（电子级硫酸钡等）实现。新品类面对的是完全不同的竞争格局——电子级粉体材料领域已有国内外专业厂商布局，公司在该领域尚需验证其技术与客户开拓能力，存在投入产出不确定性。</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红蝶新材料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公司客户以医药企业为主，信用状况总体良好，但集中带量采购等医药行业控费政策会向上游辅料传导降价压力。客户集中度与账期数据未公开披露，需尽调核实。</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重晶石为矿产资源，受矿业权管理、环保督察与运输管控影响，存在价格波动与阶段性供应紧张风险。建议核查原料来源结构、是否与矿山建立长期合作、安全库存水平。</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硫酸钡生产涉及高温还原、酸碱使用与含盐废水处理，环保压力主要来自废水含盐量与固废处置。公司已获评省级绿色工厂、废水回用率超75%、废盐资源化率100%，环保基础相对扎实；但药用辅料还叠加药品监管合规风险——一旦发生质量事件或审计不合格，可能被暂停供货资格，影响远大于一般工业产品。</w:t>
      </w:r>
    </w:p>
    <w:p>
      <w:pPr>
        <w:spacing w:lineRule="exact" w:line="600" w:before="0" w:after="0"/>
        <w:ind w:firstLine="420"/>
        <w:jc w:val="both"/>
      </w:pPr>
      <w:r>
        <w:rPr>
          <w:rFonts w:ascii="仿宋_GB2312" w:hAnsi="仿宋_GB2312" w:eastAsia="仿宋_GB2312"/>
          <w:b w:val="0"/>
          <w:color w:val="000000"/>
          <w:sz w:val="32"/>
        </w:rPr>
        <w:t>化工与电池材料生产涉及易燃易爆、有毒有害物料，安全环保风险是该类企业最具"一票否决"性质的风险类别。一次较大事故不仅带来直接损失与行政处罚，更可能触发停产整顿、项目暂停审批乃至园区连带整治，对企业现金流造成毁灭性打击。合规要点包括安全生产标准化达标、重大危险源监控、特殊作业许可管理、双重预防机制运行、排污许可证执行报告、危废合法处置与转移联单管理等。建议将近三年安全环保行政处罚记录查询列为授信前置条件，并在贷后管理中持续监测。</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公司财务数据未公开披露，财务风险无法直接评估。已知3亿元绿色信贷规模相对其细分市场体量而言不算小，需关注产能升级后的产能消化能力与还款现金流匹配情况。</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公司治理与实际控制人信息未公开披露，民营企业常见的实际控制人风险传导、关联交易不规范等问题需在尽调中重点排查。</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红蝶新材料的风险特征为"经营稳定性强、成长天花板明确、合规要求严格"。其95%的细分份额与优异的绿色制造指标构成较高的安全边际，主要不确定性来自新品类拓展的成败与药品监管合规的持续性。总体属于风险较低、适合中长期支持的优质细分龙头。</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公司资金需求集中于产能升级与电子级产品研发产业化两方面。前者属资本性支出，已有3亿元绿色信贷对应；后者属研发与中试投入，回报周期长、不确定性高，更适合以科技型信贷产品、知识产权质押与政府科技资金组合支持。</w:t>
      </w:r>
    </w:p>
    <w:p>
      <w:pPr>
        <w:spacing w:lineRule="exact" w:line="600" w:before="0" w:after="0"/>
        <w:ind w:firstLine="420"/>
        <w:jc w:val="both"/>
      </w:pPr>
      <w:r>
        <w:rPr>
          <w:rFonts w:ascii="仿宋_GB2312" w:hAnsi="仿宋_GB2312" w:eastAsia="仿宋_GB2312"/>
          <w:b w:val="0"/>
          <w:color w:val="000000"/>
          <w:sz w:val="32"/>
        </w:rPr>
        <w:t>从资金用途看，红蝶新材料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公司下游医药客户信用资质普遍良好，应收账款质量较高，是开展商业保理的优质基础资产。建议优先选择上市医药企业或大型制剂厂项下已验收结算的应收账款开展明保保理，融资比例可适度提高。</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红蝶新材料，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公司在钡盐产业链中处于关键位置，既向上游采购重晶石，又向下游供应药用辅料。可依托其采购订单为上游矿业与运输企业提供订单融资，同时为其自身提供预付款融资以锁定低价原料，形成产业链双向服务。</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红蝶新材料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公司产能升级涉及窑炉、粉碎分级设备、干燥设备、环保处理设施等，多数属于通用性较强的粉体加工与环保装备，残值与处置性较好，适合开展直接租赁或售后回租，以延长债务久期、匹配设备寿命。</w:t>
      </w:r>
    </w:p>
    <w:p>
      <w:pPr>
        <w:spacing w:lineRule="exact" w:line="600" w:before="0" w:after="0"/>
        <w:ind w:firstLine="420"/>
        <w:jc w:val="both"/>
      </w:pPr>
      <w:r>
        <w:rPr>
          <w:rFonts w:ascii="仿宋_GB2312" w:hAnsi="仿宋_GB2312" w:eastAsia="仿宋_GB2312"/>
          <w:b w:val="0"/>
          <w:color w:val="000000"/>
          <w:sz w:val="32"/>
        </w:rPr>
        <w:t>红蝶新材料属于设备与装置投入密集型企业，融资租赁具有较强适配性。可行模式有二：一是直接租赁，用于新增产线、检测设备、环保设施与智能化改造设备的购置，租期三至五年、首付比例一至三成，租金与设备产生的现金流相匹配；二是售后回租，以企业现有权属清晰、成新率较高的通用性设备为标的盘活存量资产，补充中长期资金并改善债务期限结构。风控要点在于设备的通用性与可处置性——高度定制化、与装置不可分离的设备残值处置难度大，应审慎评估并适度降低融资比例。</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公司自身对小额贷款需求有限，但其上游重晶石采购、运输与包装环节存在大量小微经营主体，可围绕公司交易数据开发小额信贷产品，服务产业链末端普惠需求。</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红蝶新材料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建议以"绿色信贷+保理+融资租赁"为主体方案：绿色信贷支持节能环保与产能升级项目，保理解决医药客户账期形成的营运资金占用，融资租赁匹配设备更新需求。同时将药品监管审计结果与环保合规记录纳入贷后监测指标。</w:t>
      </w:r>
    </w:p>
    <w:p>
      <w:pPr>
        <w:spacing w:lineRule="exact" w:line="600" w:before="0" w:after="0"/>
        <w:ind w:firstLine="420"/>
        <w:jc w:val="both"/>
      </w:pPr>
      <w:r>
        <w:rPr>
          <w:rFonts w:ascii="仿宋_GB2312" w:hAnsi="仿宋_GB2312" w:eastAsia="仿宋_GB2312"/>
          <w:b w:val="0"/>
          <w:color w:val="000000"/>
          <w:sz w:val="32"/>
        </w:rPr>
        <w:t>综合上述分析，建议对红蝶新材料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综合评价：青岛红蝶新材料有限公司是药用硫酸钡领域的国内隐形冠军，全国市场份额约95%、产品纯度达99.5%，在细分市场具备强定价权与抗周期能力；同时获评省级绿色工厂，废水回用率超75%、废盐资源化率100%，绿色制造水平居行业前列，2024年获绿色信贷3亿元支持产能升级，研发投入年增约15%，并与青岛大学等共建工程中心。公司是平度精细化工集群中"小而美、专而强"的典型代表。</w:t>
      </w:r>
    </w:p>
    <w:p>
      <w:pPr>
        <w:spacing w:lineRule="exact" w:line="600" w:before="0" w:after="0"/>
        <w:ind w:firstLine="420"/>
        <w:jc w:val="both"/>
      </w:pPr>
      <w:r>
        <w:rPr>
          <w:rFonts w:ascii="仿宋_GB2312" w:hAnsi="仿宋_GB2312" w:eastAsia="仿宋_GB2312"/>
          <w:b w:val="0"/>
          <w:color w:val="000000"/>
          <w:sz w:val="32"/>
        </w:rPr>
        <w:t>主要不足在于：单一品种市场规模有限、成长天花板明确；财务数据未公开披露，偿债能力需通过一手资料核实；向电子级硫酸钡延伸面临新的技术与客户壁垒，成效尚待观察。</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公司的关键看点在于电子级硫酸钡的产业化进展。随着国内电子元器件、高端涂料、5G材料等领域对高纯功能性粉体需求增长，若公司能够复制其在药用级产品上的质量控制能力，有望打开数倍于现有市场的成长空间。</w:t>
      </w:r>
    </w:p>
    <w:p>
      <w:pPr>
        <w:spacing w:lineRule="exact" w:line="600" w:before="0" w:after="0"/>
        <w:ind w:firstLine="420"/>
        <w:jc w:val="both"/>
      </w:pPr>
      <w:r>
        <w:rPr>
          <w:rFonts w:ascii="仿宋_GB2312" w:hAnsi="仿宋_GB2312" w:eastAsia="仿宋_GB2312"/>
          <w:b w:val="0"/>
          <w:color w:val="000000"/>
          <w:sz w:val="32"/>
        </w:rPr>
        <w:t>此外，绿色制造能力将成为公司重要的竞争优势来源。在"双碳"目标与环保标准持续提升的背景下，其余热回收、废水回用与废盐资源化经验具备向行业推广的价值，也有利于其获得绿色金融的持续支持。</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公司：一是在保持药用级主业稳定的前提下，加快电子级产品的中试与客户验证，并做好研发投入与现金流的平衡；二是进一步规范财务与治理体系，为引入战略投资或资本市场融资做准备；三是将绿色制造经验标准化、数据化，用于争取更优惠的绿色金融支持。</w:t>
      </w:r>
    </w:p>
    <w:p>
      <w:pPr>
        <w:spacing w:lineRule="exact" w:line="600" w:before="0" w:after="0"/>
        <w:ind w:firstLine="420"/>
        <w:jc w:val="both"/>
      </w:pPr>
      <w:r>
        <w:rPr>
          <w:rFonts w:ascii="仿宋_GB2312" w:hAnsi="仿宋_GB2312" w:eastAsia="仿宋_GB2312"/>
          <w:b w:val="0"/>
          <w:color w:val="000000"/>
          <w:sz w:val="32"/>
        </w:rPr>
        <w:t>此外，建议红蝶新材料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建议金融机构将本企业作为绿色金融与科技金融结合的示范客户，在额度与定价上给予倾斜，并通过保理等自偿性产品深度嵌入其销售结算环节，实现风险可控下的长期合作。</w:t>
      </w:r>
    </w:p>
    <w:p>
      <w:pPr>
        <w:spacing w:lineRule="exact" w:line="600" w:before="0" w:after="0"/>
        <w:ind w:firstLine="420"/>
        <w:jc w:val="both"/>
      </w:pPr>
      <w:r>
        <w:rPr>
          <w:rFonts w:ascii="仿宋_GB2312" w:hAnsi="仿宋_GB2312" w:eastAsia="仿宋_GB2312"/>
          <w:b w:val="0"/>
          <w:color w:val="000000"/>
          <w:sz w:val="32"/>
        </w:rPr>
        <w:t>总体而言，服务平度市新河精细化工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1．平度市人民政府及公开媒体关于青岛红蝶新材料有限公司药用硫酸钡全国市场份额、产品纯度、绿色工厂评定、废水回用率与废盐资源化率、2024年绿色信贷规模、研发投入增速及产学研合作的报道；</w:t>
      </w:r>
    </w:p>
    <w:p>
      <w:pPr>
        <w:spacing w:lineRule="exact" w:line="600" w:before="0" w:after="0"/>
        <w:jc w:val="left"/>
      </w:pPr>
      <w:r>
        <w:rPr>
          <w:rFonts w:ascii="仿宋_GB2312" w:hAnsi="仿宋_GB2312" w:eastAsia="仿宋_GB2312"/>
          <w:b w:val="0"/>
          <w:color w:val="000000"/>
          <w:sz w:val="28"/>
        </w:rPr>
        <w:t>2．平度市新河精细化工特色产业集群工业产值与细分板块产值统计数据（2023—2024年）。</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