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平度市非公路车辆轮胎及传动系统特色产业集群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青岛奥诺轮胎有限公司企业分析报告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奥诺轮胎有限公司成立于2002年4月5日，法定代表人穆成龙，统一社会信用代码91370283737256641P，企业类型为其他有限责任公司，注册资本5,000万元（实缴4,680万元），注册地址位于山东省青岛市平度市明村镇田新路226号，登记机关为平度市市场监督管理局，经营状态为存续。人员规模100—499人，参保人数约268人（2025年工商年报）。</w:t>
      </w:r>
    </w:p>
    <w:p>
      <w:pPr>
        <w:spacing w:lineRule="exact" w:line="600" w:before="0" w:after="0"/>
        <w:ind w:firstLine="420"/>
        <w:jc w:val="both"/>
      </w:pPr>
      <w:r>
        <w:rPr>
          <w:rFonts w:ascii="仿宋_GB2312" w:hAnsi="仿宋_GB2312" w:eastAsia="仿宋_GB2312"/>
          <w:b w:val="0"/>
          <w:color w:val="000000"/>
          <w:sz w:val="32"/>
        </w:rPr>
        <w:t>股权结构：青岛奥诺控股有限公司持股70%、自然人穆成龙持股30%，穿透后实际控制人为穆成龙（持股约99.3%），属民营控股企业，无国有出资人。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总经理负责经营，对外投资3家企业、分支机构1家，业务涵盖轮胎制造销售、橡胶制品、橡胶加工专用设备制造、模具制造等，形成"轮胎+装备+模具"一体化布局；曾以HONOUR、CONDOR、奥诺、奥龙等品牌覆盖轻卡、载重、工程系列斜交轮胎及传动带业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2002年成立，长期生产轮胎及传动带，是国家定点许可生产轮胎、传动带的中型企业；近年战略向半钢胎及非公路轮胎聚焦，正在推进"年产770万套高性能半钢胎扩建项目"（总投资约10.74亿元），向高端轿车胎、越野胎及新能源汽车专用胎升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轮胎制造商，平度市明村镇轮胎产业重要企业。主营业务为轮胎制造与销售、橡胶制品制造销售、橡胶加工专用设备制造及模具制造等；产品涵盖半钢胎、非公路轮胎（工程胎、工业胎、农业胎）及传动带，品牌包括HONOUR、CONDOR、奥诺、奥龙。</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业务以半钢胎与非公路轮胎为核心，原传动带业务占比下降；现有半钢胎产能约530万套，扩建后将跃升至1,400万套。公司未公开披露分产品收入占比。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主导产品为半钢子午线轮胎、非公路轮胎（工程机械胎、工业胎、农业胎），以及HONOUR、CONDOR、奥诺、奥龙等品牌系列；产品通过ISO9000、CCC、ECE、DOT等国内外认证，可根据客户要求定制生产。</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产品在世界市场享有较高声誉，客户覆盖国内外轮胎经销商与主机厂配套；公开招投标信息显示其向中国邮政集团有限公司贵州省分公司等机构供货，出口占比具备一定规模。</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生产所需主要原料为天然橡胶、丁苯胶、顺丁胶、炭黑、帘子布等，原料价格随大宗与石化行情波动，是公司成本核心变量。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平度市明村镇，2026年入选青岛市绿色工厂；现有半钢胎产能约530万套，"年产770万套高性能半钢胎扩建项目"总投资约10.74亿元，分三期：一期盘活现有2.65万㎡厂房新增270万套（全厂达800万套），二期、三期分别新增65亩、90亩用地，新增260万套、240万套；全面达产后半钢胎总产能突破1,400万套。扩建不涉及炼胶工艺，强化废气治理与废水零外排，契合绿色制造。</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采用"自主品牌+出口+配套"模式，产品通过DOT/ECE等认证进入国际市场；以高端化（轿车胎、越野胎、新能源专用胎）摆脱中低端内卷。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公司为非上市民营企业，财务数据未公开披露，无公开营收、利润及市占率数据。从现有半钢胎530万套、扩建后1,400万套的产能规划看，其正快速向国内重要高性能半钢胎生产基地迈进，规模与成长弹性突出。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青岛奥诺轮胎为非上市民营企业，近三年财务报表未公开披露，以下仅列公开工商与产能信息，不作财务数据编造。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5,000万元（实缴4,680万元）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2002-04-05</w:t>
            </w:r>
          </w:p>
        </w:tc>
      </w:tr>
      <w:tr>
        <w:tc>
          <w:tcPr>
            <w:tcW w:type="dxa" w:w="2551"/>
          </w:tcPr>
          <w:p>
            <w:pPr>
              <w:spacing w:lineRule="exact" w:line="600"/>
              <w:jc w:val="center"/>
            </w:pPr>
            <w:r/>
            <w:r>
              <w:rPr>
                <w:rFonts w:ascii="仿宋_GB2312" w:hAnsi="仿宋_GB2312" w:eastAsia="仿宋_GB2312"/>
                <w:b w:val="0"/>
                <w:color w:val="000000"/>
                <w:sz w:val="32"/>
              </w:rPr>
              <w:t>现有半钢胎产能</w:t>
            </w:r>
          </w:p>
        </w:tc>
        <w:tc>
          <w:tcPr>
            <w:tcW w:type="dxa" w:w="6236"/>
          </w:tcPr>
          <w:p>
            <w:pPr>
              <w:spacing w:lineRule="exact" w:line="600"/>
              <w:jc w:val="center"/>
            </w:pPr>
            <w:r/>
            <w:r>
              <w:rPr>
                <w:rFonts w:ascii="仿宋_GB2312" w:hAnsi="仿宋_GB2312" w:eastAsia="仿宋_GB2312"/>
                <w:b w:val="0"/>
                <w:color w:val="000000"/>
                <w:sz w:val="32"/>
              </w:rPr>
              <w:t>约530万套/年</w:t>
            </w:r>
          </w:p>
        </w:tc>
      </w:tr>
      <w:tr>
        <w:tc>
          <w:tcPr>
            <w:tcW w:type="dxa" w:w="2551"/>
          </w:tcPr>
          <w:p>
            <w:pPr>
              <w:spacing w:lineRule="exact" w:line="600"/>
              <w:jc w:val="center"/>
            </w:pPr>
            <w:r/>
            <w:r>
              <w:rPr>
                <w:rFonts w:ascii="仿宋_GB2312" w:hAnsi="仿宋_GB2312" w:eastAsia="仿宋_GB2312"/>
                <w:b w:val="0"/>
                <w:color w:val="000000"/>
                <w:sz w:val="32"/>
              </w:rPr>
              <w:t>扩建后产能</w:t>
            </w:r>
          </w:p>
        </w:tc>
        <w:tc>
          <w:tcPr>
            <w:tcW w:type="dxa" w:w="6236"/>
          </w:tcPr>
          <w:p>
            <w:pPr>
              <w:spacing w:lineRule="exact" w:line="600"/>
              <w:jc w:val="center"/>
            </w:pPr>
            <w:r/>
            <w:r>
              <w:rPr>
                <w:rFonts w:ascii="仿宋_GB2312" w:hAnsi="仿宋_GB2312" w:eastAsia="仿宋_GB2312"/>
                <w:b w:val="0"/>
                <w:color w:val="000000"/>
                <w:sz w:val="32"/>
              </w:rPr>
              <w:t>约1,400万套/年（总投资10.74亿元）</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约268人</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财务数据未公开披露。半钢胎行业毛利率受原料、海运与贸易环境影响波动；扩建后向高端轿车胎、越野胎、新能源专用胎升级，有望提升附加值与盈利。</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无公开资产数据。重资产属性下固定资产（成型、硫化、检测设备）占比较高，与扩产投入匹配。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无公开负债数据。10.74亿元扩建项目资本开支大，预计依赖股东出资与银行融资，需关注杠杆与偿债能力；建议授信前核查有息负债。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无公开现金流数据。扩产期资本开支与原料采购对营运资金占用较大，需关注现金流平衡。</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与启航轮胎（聚焦非公路/特种胎）相比，奥诺以半钢胎规模化扩建为主攻方向，达产后1,400万套产能将显著放大规模效应；但半钢胎竞争激烈，须以高端化（新能源专用胎、越野胎）突围。</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其他有限责任公司，设总经理（穆成龙）及管理层，治理简洁，重大事项由股东奥诺控股决定。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法定代表人、总经理穆成龙（实际控制人）；管理团队以创始人主导，决策高效。</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通过ISO9000、CCC、ECE、DOT等认证；扩产项目配套废气治理与废水零外排，建立环保内控；作为轮胎企业须符合安全与能耗监管。</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参保约268人，以生产与技术人员为主；曾披露工程技术人员180人（历史口径），技术力量较扎实。</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规模与扩产弹性：现有半钢胎530万套，10.74亿扩建后达1,400万套，规模效应显著。二是产品认证与渠道：通过ISO9000/CCC/ECE/DOT，出口与世界市场声誉良好。三是高端化转型：扩建项目直指高端轿车胎、越野胎、新能源专用胎，摆脱中低端内卷。四是绿色制造：2026青岛市绿色工厂，扩建强化环保与零排放。五是集群协同：位于平度明村镇轮胎产业镇，配套与政策便利。</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扩产与产能消化风险：10.74亿投资大，达产后1,400万套需匹配高端市场需求，存在投产节奏与消化不确定性。二是行业竞争风险：半钢胎赛道竞争白热化，须以高端化维持溢价。三是原料价格风险：橡胶等大宗波动直接挤压毛利。四是贸易与汇率风险：出口占比高，受国际贸易与汇率影响。五是安全环保风险：扩产须持续合规投入，废水零外排与废气治理为监管重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出口与配套应收账款可开展保理。供应链金融：围绕核心原料供应商与主机厂做订单融资、票据贴现。融资租赁：770万套半钢胎扩建项目新购设备（成型机、硫化机等）适合直租/回租，是重点切入方向。小贷：面向临时周转。鉴于扩产资本开支大、成长弹性高，建议以"设备融资租赁+应收保理"组合切入，并以项目现金流与增信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奥诺轮胎是平度轮胎集群中以半钢胎规模化扩建为核心的企业，10.74亿扩建后产能将跃升至1,400万套、向高端化转型，且获绿色工厂资质；但非上市、财务不透明、扩产与竞争风险并存。发展展望：据行业趋势，新能源汽车专用胎、越野胎与高端轿车胎需求增长，扩建达产后成长空间明确。建议：一是对接扩建设备融资租赁绑定项目现金流；二是以供应链金融服链属企业；三是授信前核查资本开支安排与负债，设置增信与动态监测。</w:t>
      </w:r>
    </w:p>
    <w:p>
      <w:pPr>
        <w:spacing w:lineRule="exact" w:line="600" w:before="0" w:after="0"/>
        <w:jc w:val="left"/>
      </w:pPr>
      <w:r>
        <w:rPr>
          <w:rFonts w:ascii="仿宋_GB2312" w:hAnsi="仿宋_GB2312" w:eastAsia="仿宋_GB2312"/>
          <w:b w:val="0"/>
          <w:color w:val="000000"/>
          <w:sz w:val="28"/>
        </w:rPr>
        <w:t>数据来源说明：天眼查/爱企查/企查查（工商、股权、资质、客户）、大众日报/轮胎世界网/中国天然橡胶协会（绿色工厂）、大众网/青岛日报（770万套半钢胎扩建项目环评公示）、公开招投标信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