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平阴县炭素材料高端制造特色产业集群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济南万瑞炭素有限责任公司企业分析报告</w:t>
      </w:r>
    </w:p>
    <w:p>
      <w:pPr>
        <w:spacing w:lineRule="exact" w:line="600" w:before="0" w:after="0"/>
        <w:jc w:val="left"/>
      </w:pPr>
      <w:r>
        <w:rPr>
          <w:rFonts w:ascii="仿宋_GB2312" w:hAnsi="仿宋_GB2312" w:eastAsia="仿宋_GB2312"/>
          <w:b w:val="0"/>
          <w:color w:val="000000"/>
          <w:sz w:val="28"/>
        </w:rPr>
        <w:t>（本报告数据来源于企业公开工商信息、天眼查、公司官网及齐鲁网/闪电新闻、山东省政府网、平阴县官方媒体等公开报道，统计时点截至最新披露信息。该公司为非上市民营企业，未公开披露经审计的年度财务报告，公开报道披露的销售收入为经营参考值，相关部分已如实标注，未编造经审计财务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南万瑞炭素有限责任公司成立于2008年1月22日，注册地位于山东省济南市平阴县孔村镇合楼村，法定代表人为王怀民，董事长兼总经理为梁瑞华，注册资本6000万元人民币，企业类型为有限责任公司（自然人投资或控股）。统一社会信用代码91370124664896612T，登记状态存续，参保人数约980人。公司系山东省铝电解用预焙阳极生产龙头企业，实际控制人为创始股东团队（梁瑞华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主营炭素制品制造，下辖海川炭素等子公司，形成以预焙阳极为核心、多基地协同的集团化架构。通过收购海川、托管汇丰，公司及子公司具备年产54万吨预焙阳极炭块生产能力。公司设党总支/党组织，董事长梁瑞华为党员，党建与经营融合。</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2008年成立；创始人梁瑞华于2003年临危受命接手濒临破产的镇办炭素厂，半年内将人工配料革新为半自动配料线，一年内完成成型设备升级改造；2008年万瑞炭素成立后抓住电解铝发展机遇，通过收购海川、托管汇丰实现产能跃升；2017年承接济南万方炭素15万吨产能合并；近年累计投入5.6亿元绿色转型、近三年研发投入4.7亿元，成长为全国商用预焙阳极产业基地龙头。</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世界一流的铝用炭阳极生产企业，主营石墨及炭素制品制造、加工销售，主导产品为铝电解用预焙阳极（"方泽牌"为山东省著名商标、山东知名品牌）。业务延伸至余热发电、供热，产品应用于电解铝生产，下游为国民支柱产业的配套关键材料。</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预焙阳极销售为主，按市场分为国内（与中国铝业、魏桥集团、东兴铝业、东方希望、新疆众和等战略合作）与海外（出口量占全国出口总量15%，覆盖亚、欧、北美、南美、大洋洲）。2023年实现销售收入68亿元、出口创汇2.18亿美元，国际订单供不应求。</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主导产品为各种规格的铝电解用预焙阳极，质量连续3年蝉联国内第一；辅以余热发电、供热等循环经济业务。生产工艺涵盖煅烧、成型、焙烧，装备与环保治理达国际领先水平。</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客户为国内外大型电解铝企业，国内与中国铝业、魏桥集团（世界500强）等建立战略合作，海外覆盖五大洲多国；出口量占全国15%，客户黏性强、订单充足。</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生产以石油焦、煤沥青等为主，依托平阴本地与国内供应链；能源（天然气、电力）成本占比高，邻近电厂供应充足。公司注重供应链绿色管理，被评为山东省绿色供应链管理企业。</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及子公司具备年产54万吨预焙阳极炭块能力（历史口径）；拥有煅烧炉8台、成型车间2座、焙烧炉4台；系ISO质量、环境、能源、职业健康安全四体系认证企业。研发平台包括国家CNAS认可实验室、山东省企业技术中心、高性能铝用炭阳极济南市工程研究中心、济南市重点实验室、院士工作站；参与多项国家/行业标准制定，是国家专精特新"小巨人"企业、国家级绿色工厂。</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销售渠道以直销大客户（战略客户+出口）为主，依托长期战略合作与全球出口网络，订单供不应求，品牌与渠道壁垒高。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山东省政府网/齐鲁网报道，2023年公司实现销售收入68亿元、出口创汇2.18亿美元，出口量占全国15%，产品质量连续3年国内第一；是国家专精特新"小巨人"、国家级绿色工厂，巩固全国商用预焙阳极产业基地行业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济南万瑞炭素为非上市民营企业，未公开披露经审计的年度财务报告，财务数据未公开披露。公开报道披露的2023年销售收入68亿元、出口创汇2.18亿美元为经营参考值，非经审计财务数据。本部分不编造经审计的财务报表。</w:t>
      </w:r>
    </w:p>
    <w:p>
      <w:pPr>
        <w:spacing w:lineRule="exact" w:line="600" w:before="120" w:after="120"/>
        <w:ind w:firstLine="420"/>
        <w:jc w:val="left"/>
      </w:pPr>
      <w:r>
        <w:rPr>
          <w:rFonts w:ascii="楷体_GB2312" w:hAnsi="楷体_GB2312" w:eastAsia="楷体_GB2312"/>
          <w:b w:val="0"/>
          <w:color w:val="000000"/>
          <w:sz w:val="32"/>
        </w:rPr>
        <w:t>（二）经营规模参考</w:t>
      </w:r>
    </w:p>
    <w:p>
      <w:pPr>
        <w:spacing w:lineRule="exact" w:line="600" w:before="0" w:after="0"/>
        <w:ind w:firstLine="420"/>
        <w:jc w:val="both"/>
      </w:pPr>
      <w:r>
        <w:rPr>
          <w:rFonts w:ascii="仿宋_GB2312" w:hAnsi="仿宋_GB2312" w:eastAsia="仿宋_GB2312"/>
          <w:b w:val="0"/>
          <w:color w:val="000000"/>
          <w:sz w:val="32"/>
        </w:rPr>
        <w:t>据公开报道：2023年销售收入68亿元、出口创汇2.18亿美元；公司及子公司年产54万吨预焙阳极（产能口径）；近三年累计研发投入4.7亿元、绿色转型投入5.6亿元。上述非经审计，仅供研判。</w:t>
      </w:r>
    </w:p>
    <w:p>
      <w:pPr>
        <w:spacing w:lineRule="exact" w:line="600" w:before="120" w:after="120"/>
        <w:ind w:firstLine="420"/>
        <w:jc w:val="left"/>
      </w:pPr>
      <w:r>
        <w:rPr>
          <w:rFonts w:ascii="楷体_GB2312" w:hAnsi="楷体_GB2312" w:eastAsia="楷体_GB2312"/>
          <w:b w:val="0"/>
          <w:color w:val="000000"/>
          <w:sz w:val="32"/>
        </w:rPr>
        <w:t>（三）资产与资金状况研判</w:t>
      </w:r>
    </w:p>
    <w:p>
      <w:pPr>
        <w:spacing w:lineRule="exact" w:line="600" w:before="0" w:after="0"/>
        <w:ind w:firstLine="420"/>
        <w:jc w:val="both"/>
      </w:pPr>
      <w:r>
        <w:rPr>
          <w:rFonts w:ascii="仿宋_GB2312" w:hAnsi="仿宋_GB2312" w:eastAsia="仿宋_GB2312"/>
          <w:b w:val="0"/>
          <w:color w:val="000000"/>
          <w:sz w:val="32"/>
        </w:rPr>
        <w:t>公司产能54万吨、员工近千、国家级绿色工厂与专精特新"小巨人"，资产与技术实力雄厚；出口创汇带来稳定外汇收入。但缺乏经审计报表，资产负债率、现金流等核心指标无法核实。</w:t>
      </w:r>
    </w:p>
    <w:p>
      <w:pPr>
        <w:spacing w:lineRule="exact" w:line="600" w:before="120" w:after="120"/>
        <w:ind w:firstLine="420"/>
        <w:jc w:val="left"/>
      </w:pPr>
      <w:r>
        <w:rPr>
          <w:rFonts w:ascii="楷体_GB2312" w:hAnsi="楷体_GB2312" w:eastAsia="楷体_GB2312"/>
          <w:b w:val="0"/>
          <w:color w:val="000000"/>
          <w:sz w:val="32"/>
        </w:rPr>
        <w:t>（四）对标与提示</w:t>
      </w:r>
    </w:p>
    <w:p>
      <w:pPr>
        <w:spacing w:lineRule="exact" w:line="600" w:before="0" w:after="0"/>
        <w:ind w:firstLine="420"/>
        <w:jc w:val="both"/>
      </w:pPr>
      <w:r>
        <w:rPr>
          <w:rFonts w:ascii="仿宋_GB2312" w:hAnsi="仿宋_GB2312" w:eastAsia="仿宋_GB2312"/>
          <w:b w:val="0"/>
          <w:color w:val="000000"/>
          <w:sz w:val="32"/>
        </w:rPr>
        <w:t>与同集群澳海（2023年31.43亿）、万方相比，万瑞规模最大、出口占比高。投资应核实真实营收与海外回款质量。</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公司为自然人投资控股的民营企业，董事长兼总经理梁瑞华，设有党组织（梁瑞华为党员），党建与"三重一大"融入经营。作为大型民企，治理逐步规范，设有院士工作站等高端研发治理机制。</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董事长兼总经理梁瑞华，土生土长孔村镇人，党员，带领企业从濒临破产到行业龙头；参与制定3项国家行业标准，拥有12项发明专利、33项实用新型专利，管理经验与行业号召力强。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公司通过四体系认证，依托数字孪生融合MES生产管理系统实现数字化管理；内控与质量体系规范，注重安全生产与环保合规（子公司海川通过环保绩效A级）。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参保约980人，技术力量雄厚（历史口径员工1800余人、技术人员158人）；建有院士工作站、省企业技术中心，与湖南大学等合作培养人才，研发人员占比高。</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（一）规模与出口壁垒</w:t>
      </w:r>
    </w:p>
    <w:p>
      <w:pPr>
        <w:spacing w:lineRule="exact" w:line="600" w:before="0" w:after="0"/>
        <w:ind w:firstLine="420"/>
        <w:jc w:val="both"/>
      </w:pPr>
      <w:r>
        <w:rPr>
          <w:rFonts w:ascii="仿宋_GB2312" w:hAnsi="仿宋_GB2312" w:eastAsia="仿宋_GB2312"/>
          <w:b w:val="0"/>
          <w:color w:val="000000"/>
          <w:sz w:val="32"/>
        </w:rPr>
        <w:t>年产54万吨预焙阳极、出口占全国15%、订单供不应求，规模与出口渠道壁垒显著；与中铝、魏桥等世界500强战略合作，客户护城河深。</w:t>
      </w:r>
    </w:p>
    <w:p>
      <w:pPr>
        <w:spacing w:lineRule="exact" w:line="600" w:before="120" w:after="120"/>
        <w:ind w:firstLine="420"/>
        <w:jc w:val="left"/>
      </w:pPr>
      <w:r>
        <w:rPr>
          <w:rFonts w:ascii="楷体_GB2312" w:hAnsi="楷体_GB2312" w:eastAsia="楷体_GB2312"/>
          <w:b w:val="0"/>
          <w:color w:val="000000"/>
          <w:sz w:val="32"/>
        </w:rPr>
        <w:t>（二）技术与标准壁垒</w:t>
      </w:r>
    </w:p>
    <w:p>
      <w:pPr>
        <w:spacing w:lineRule="exact" w:line="600" w:before="0" w:after="0"/>
        <w:ind w:firstLine="420"/>
        <w:jc w:val="both"/>
      </w:pPr>
      <w:r>
        <w:rPr>
          <w:rFonts w:ascii="仿宋_GB2312" w:hAnsi="仿宋_GB2312" w:eastAsia="仿宋_GB2312"/>
          <w:b w:val="0"/>
          <w:color w:val="000000"/>
          <w:sz w:val="32"/>
        </w:rPr>
        <w:t>国家CNAS实验室、省企业技术中心、院士工作站，参与国家/行业标准制定，国家专精特新"小巨人"，产品质量连续3年国内第一，技术与标准壁垒突出。</w:t>
      </w:r>
    </w:p>
    <w:p>
      <w:pPr>
        <w:spacing w:lineRule="exact" w:line="600" w:before="120" w:after="120"/>
        <w:ind w:firstLine="420"/>
        <w:jc w:val="left"/>
      </w:pPr>
      <w:r>
        <w:rPr>
          <w:rFonts w:ascii="楷体_GB2312" w:hAnsi="楷体_GB2312" w:eastAsia="楷体_GB2312"/>
          <w:b w:val="0"/>
          <w:color w:val="000000"/>
          <w:sz w:val="32"/>
        </w:rPr>
        <w:t>（三）绿色与数智化</w:t>
      </w:r>
    </w:p>
    <w:p>
      <w:pPr>
        <w:spacing w:lineRule="exact" w:line="600" w:before="0" w:after="0"/>
        <w:ind w:firstLine="420"/>
        <w:jc w:val="both"/>
      </w:pPr>
      <w:r>
        <w:rPr>
          <w:rFonts w:ascii="仿宋_GB2312" w:hAnsi="仿宋_GB2312" w:eastAsia="仿宋_GB2312"/>
          <w:b w:val="0"/>
          <w:color w:val="000000"/>
          <w:sz w:val="32"/>
        </w:rPr>
        <w:t>国家级绿色工厂、山东省绿色供应链企业，累计5.6亿元绿色转型、排放优于超低标准；数字孪生+MES驱动数智化，绿色低碳与智能化双领先。</w:t>
      </w:r>
    </w:p>
    <w:p>
      <w:pPr>
        <w:spacing w:lineRule="exact" w:line="600" w:before="120" w:after="120"/>
        <w:ind w:firstLine="420"/>
        <w:jc w:val="left"/>
      </w:pPr>
      <w:r>
        <w:rPr>
          <w:rFonts w:ascii="楷体_GB2312" w:hAnsi="楷体_GB2312" w:eastAsia="楷体_GB2312"/>
          <w:b w:val="0"/>
          <w:color w:val="000000"/>
          <w:sz w:val="32"/>
        </w:rPr>
        <w:t>（四）创始人领导力</w:t>
      </w:r>
    </w:p>
    <w:p>
      <w:pPr>
        <w:spacing w:lineRule="exact" w:line="600" w:before="0" w:after="0"/>
        <w:ind w:firstLine="420"/>
        <w:jc w:val="both"/>
      </w:pPr>
      <w:r>
        <w:rPr>
          <w:rFonts w:ascii="仿宋_GB2312" w:hAnsi="仿宋_GB2312" w:eastAsia="仿宋_GB2312"/>
          <w:b w:val="0"/>
          <w:color w:val="000000"/>
          <w:sz w:val="32"/>
        </w:rPr>
        <w:t>梁瑞华以科技创新与惠民担当引领企业转型，党建与企业家精神融合，战略执行力强。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预焙阳极需求与电解铝周期高度相关，铝价、产能政策与新能源用铝波动将传导至业绩；出口占比高，受贸易摩擦、汇率与地缘政治影响。</w:t>
      </w:r>
    </w:p>
    <w:p>
      <w:pPr>
        <w:spacing w:lineRule="exact" w:line="600" w:before="120" w:after="120"/>
        <w:ind w:firstLine="420"/>
        <w:jc w:val="left"/>
      </w:pPr>
      <w:r>
        <w:rPr>
          <w:rFonts w:ascii="楷体_GB2312" w:hAnsi="楷体_GB2312" w:eastAsia="楷体_GB2312"/>
          <w:b w:val="0"/>
          <w:color w:val="000000"/>
          <w:sz w:val="32"/>
        </w:rPr>
        <w:t>（二）经营与供应链风险</w:t>
      </w:r>
    </w:p>
    <w:p>
      <w:pPr>
        <w:spacing w:lineRule="exact" w:line="600" w:before="0" w:after="0"/>
        <w:ind w:firstLine="420"/>
        <w:jc w:val="both"/>
      </w:pPr>
      <w:r>
        <w:rPr>
          <w:rFonts w:ascii="仿宋_GB2312" w:hAnsi="仿宋_GB2312" w:eastAsia="仿宋_GB2312"/>
          <w:b w:val="0"/>
          <w:color w:val="000000"/>
          <w:sz w:val="32"/>
        </w:rPr>
        <w:t>原材料（石油焦、煤沥青）与能源成本占比高，价格波动挤压毛利；大规模产能的订单与库存管理挑战大。</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公司财务未公开披露，信息不对称；炭素属环保重点监管行业，环保、安全生产合规要求高，重资产技改带来折旧压力。</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快速扩张（收购、托管、产能合并）对跨区域管理与整合提出更高要求；出口业务面临国际合规与汇率管理挑战。</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上游原材料采购与下游大客户账期错配，可开展应收账款保理与存货融资，盘活万亿级铝产业链资金流。</w:t>
      </w:r>
    </w:p>
    <w:p>
      <w:pPr>
        <w:spacing w:lineRule="exact" w:line="600" w:before="120" w:after="120"/>
        <w:ind w:firstLine="420"/>
        <w:jc w:val="left"/>
      </w:pPr>
      <w:r>
        <w:rPr>
          <w:rFonts w:ascii="楷体_GB2312" w:hAnsi="楷体_GB2312" w:eastAsia="楷体_GB2312"/>
          <w:b w:val="0"/>
          <w:color w:val="000000"/>
          <w:sz w:val="32"/>
        </w:rPr>
        <w:t>（二）融资租赁</w:t>
      </w:r>
    </w:p>
    <w:p>
      <w:pPr>
        <w:spacing w:lineRule="exact" w:line="600" w:before="0" w:after="0"/>
        <w:ind w:firstLine="420"/>
        <w:jc w:val="both"/>
      </w:pPr>
      <w:r>
        <w:rPr>
          <w:rFonts w:ascii="仿宋_GB2312" w:hAnsi="仿宋_GB2312" w:eastAsia="仿宋_GB2312"/>
          <w:b w:val="0"/>
          <w:color w:val="000000"/>
          <w:sz w:val="32"/>
        </w:rPr>
        <w:t>5.6亿元绿色转型与智能装备投入可通过融资租赁分摊资本开支、优化负债结构。</w:t>
      </w:r>
    </w:p>
    <w:p>
      <w:pPr>
        <w:spacing w:lineRule="exact" w:line="600" w:before="120" w:after="120"/>
        <w:ind w:firstLine="420"/>
        <w:jc w:val="left"/>
      </w:pPr>
      <w:r>
        <w:rPr>
          <w:rFonts w:ascii="楷体_GB2312" w:hAnsi="楷体_GB2312" w:eastAsia="楷体_GB2312"/>
          <w:b w:val="0"/>
          <w:color w:val="000000"/>
          <w:sz w:val="32"/>
        </w:rPr>
        <w:t>（三）绿色信贷/碳金融</w:t>
      </w:r>
    </w:p>
    <w:p>
      <w:pPr>
        <w:spacing w:lineRule="exact" w:line="600" w:before="0" w:after="0"/>
        <w:ind w:firstLine="420"/>
        <w:jc w:val="both"/>
      </w:pPr>
      <w:r>
        <w:rPr>
          <w:rFonts w:ascii="仿宋_GB2312" w:hAnsi="仿宋_GB2312" w:eastAsia="仿宋_GB2312"/>
          <w:b w:val="0"/>
          <w:color w:val="000000"/>
          <w:sz w:val="32"/>
        </w:rPr>
        <w:t>作为国家级绿色工厂，可对接绿色信贷、碳减排支持工具，支持清洁生产与低碳升级。</w:t>
      </w:r>
    </w:p>
    <w:p>
      <w:pPr>
        <w:spacing w:lineRule="exact" w:line="600" w:before="120" w:after="120"/>
        <w:ind w:firstLine="420"/>
        <w:jc w:val="left"/>
      </w:pPr>
      <w:r>
        <w:rPr>
          <w:rFonts w:ascii="楷体_GB2312" w:hAnsi="楷体_GB2312" w:eastAsia="楷体_GB2312"/>
          <w:b w:val="0"/>
          <w:color w:val="000000"/>
          <w:sz w:val="32"/>
        </w:rPr>
        <w:t>（四）综合建议</w:t>
      </w:r>
    </w:p>
    <w:p>
      <w:pPr>
        <w:spacing w:lineRule="exact" w:line="600" w:before="0" w:after="0"/>
        <w:ind w:firstLine="420"/>
        <w:jc w:val="both"/>
      </w:pPr>
      <w:r>
        <w:rPr>
          <w:rFonts w:ascii="仿宋_GB2312" w:hAnsi="仿宋_GB2312" w:eastAsia="仿宋_GB2312"/>
          <w:b w:val="0"/>
          <w:color w:val="000000"/>
          <w:sz w:val="32"/>
        </w:rPr>
        <w:t>建议以供应链金融、融资租赁与绿色金融为先导，将其作为服务平阴炭素高端制造集群、支持民企绿色化数智化转型的旗舰标的。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济南万瑞炭素是平阴炭素产业集聚区的龙头与全国商用预焙阳极产业基地核心，规模、技术、绿色与出口全面领先，是国家专精特新"小巨人"与国家级绿色工厂，是非上市但经营质量极高的炭材料企业。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公司坚持"数字赋能、降本增效、绿色低碳"战略，持续技改与研发，巩固全国基地地位并迈向世界一流铝用炭阳极企业，成长路径清晰。</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挑战在于电解铝周期、原材料与能源成本、财务透明度不足及重资产绿色转型的折旧与资金压力。</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建议山东投资以供应链金融、融资租赁、绿色金融及产业基金多维切入，在核实真实经营与海外回款基础上，将其作为服务平阴炭素高端制造集群、协同区域龙头的重点标的。</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jc w:val="left"/>
      </w:pPr>
      <w:r>
        <w:rPr>
          <w:rFonts w:ascii="仿宋_GB2312" w:hAnsi="仿宋_GB2312" w:eastAsia="仿宋_GB2312"/>
          <w:b w:val="0"/>
          <w:color w:val="000000"/>
          <w:sz w:val="28"/>
        </w:rPr>
        <w:t>本报告数据来源于：1）企业公开工商信息（天眼查，含成立时间、注册资本、法人、参保、经营范围等）；2）济南万瑞炭素官网（环保基本信息、产能、体系认证）；3）齐鲁网/闪电新闻《4.7亿元研发投入+国家级平台！济南万瑞炭素凭硬核实力领跑行业》（2024-08-19，研发投入、绿色工厂、专精特新小巨人）；4）山东省政府网《梁瑞华：逐绿而行"炭"新路》（2024，2023年销售68亿、出口创汇2.18亿美元、产能整合）；5）平阴县环保局备案（2017年万方产能合并至万瑞）。财务数据为公开报道披露的经营参考值，非经审计，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