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平阴县高端装备结构件智能制造特色产业集群</w:t>
      </w:r>
    </w:p>
    <w:p>
      <w:pPr>
        <w:spacing w:lineRule="exact" w:line="600" w:before="240" w:after="240"/>
        <w:ind w:firstLine="0"/>
        <w:jc w:val="center"/>
      </w:pPr>
      <w:r>
        <w:rPr>
          <w:rFonts w:ascii="方正小标宋简体" w:hAnsi="方正小标宋简体" w:eastAsia="方正小标宋简体"/>
          <w:b w:val="0"/>
          <w:color w:val="000000"/>
          <w:sz w:val="44"/>
        </w:rPr>
        <w:t>济南二机床集团(平阴)产业园有限公司企业分析报告</w:t>
      </w:r>
    </w:p>
    <w:p>
      <w:pPr>
        <w:spacing w:lineRule="exact" w:line="600" w:before="0" w:after="0"/>
        <w:jc w:val="left"/>
      </w:pPr>
      <w:r>
        <w:rPr>
          <w:rFonts w:ascii="仿宋_GB2312" w:hAnsi="仿宋_GB2312" w:eastAsia="仿宋_GB2312"/>
          <w:b w:val="0"/>
          <w:color w:val="000000"/>
          <w:sz w:val="28"/>
        </w:rPr>
        <w:t>（本报告数据来源于企业公开工商信息、天眼查及大众网、平阴县官方媒体（掌上平阴、爱平阴）等公开报道，统计时点截至最新披露信息。该公司为济南二机床集团下属非上市企业，财务数据未公开披露，相关部分已如实标注，未编造具体财务数字。）</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济南二机床集团(平阴)产业园有限公司成立于2008年8月13日，注册地位于山东省济南市平阴县工业园区105国道南，法定代表人为古元军，注册资本12000万元人民币。企业类型为有限责任公司（自然人投资或控股的法人独资），为济南二机床集团有限公司全资子公司，实际控制人为济南二机床集团（国有）。统一社会信用代码91370124677258556A，登记状态存续，参保人数约232人（公开报道提及职工360余人）。英文名Jinan Erhe Machine Tool Casting Co., Ltd.</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作为济南二机床集团的生产制造基地之一，定位为集团铸造与精密加工板块，主营铸铁件、铸钢件、有色合金铸造件的生产销售及铸造机械、非标设备制造安装。公司设党总支（党总支副书记、副总经理佟庆顺），党组织在生产经营中发挥引领作用。内部按模型制作、树脂砂造型、熔炼浇注、数控加工等工序组织生产。</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2008年随济南二机床集团布局平阴而设立，承担集团大型铸件配套职能；历经多年发展，成为集团高端机床"骨骼"——床身、底座等大型铸件的核心生产基地。近年来推进"高端机床铸件智能产线升级项目"（总投资3亿元），引入3D打印与智能化产线，向铸造数字化工厂转型，预计2026年10月建成投产。</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战略定位为济南二机床集团的高端铸件智能制造基地，服务集团重型机床与锻压装备主业。主营业务为铸铁件、铸钢件、有色合金铸造件的生产与销售，以及铸造机械、非标设备的制造安装、机械加工、模具制作维修等，是集团大型冲压生产线等核心装备的上游关键部件供应商。</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收入以铸件产品销售为主，绝大部分内供济南二机床集团（用于机床床身、底座等大型铸件），少量对外销售；按产品划分为铸铁件、铸钢件、有色合金铸造件及铸造设备/非标设备。公司财务数据未公开披露，具体营收构成无法核实。</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主要产品为大型机床铸件（床身、底座等黑色金属铸造件）、铸钢件、有色合金铸造件，以及铸造机械与非标设备制造安装、机械加工服务。其铸件是高端机床精度与稳定性的基础，技术壁垒体现在大型复杂铸件的造型、熔炼与精度控制（如"一坑两件"工艺、捏砂闻砂绝活）。</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核心客户为母公司济南二机床集团，铸件最终应用于集团出口全球67国的大型智能冲压生产线（服务于通用、福特、大众、日产、比亚迪、理想等车企）。公司客户集中度高，深度绑定集团主业。</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生产以生铁、废钢、合金等原材料为主，依托集团统一采购与平阴本地配套；造型材料（树脂砂等）与熔炼辅料规模化采购。作为集团内部基地，供应链协同度高。</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总占地面积约500亩，规划总建筑面积约16.90万平方米；本期高端机床铸件智能产线升级项目建设面积约3.41万平方米，建成后可新增年产能1.4万吨。具备树脂砂造型、熔炼浇注、数控加工全流程能力，正在建设集大型铸铁、铸铜及精加工于一体的"铸造数字化工厂"。</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销售以内供集团为主，渠道依附集团营销与交付体系；对外销售为辅。作为集团"空间"布局的一部分，受集团订单与产能调配驱动。</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据平阴县官方报道，公司高端机床铸件智能产线升级项目建成后年产值将突破6亿元（项目达产口径，2026年10月投产后）。公司在手订单充足，重点围绕精密机床、专用装备及核心零部件制造释放产能。具体财务与市场份额未公开披露。</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（一）财务数据披露情况</w:t>
      </w:r>
    </w:p>
    <w:p>
      <w:pPr>
        <w:spacing w:lineRule="exact" w:line="600" w:before="0" w:after="0"/>
        <w:ind w:firstLine="420"/>
        <w:jc w:val="both"/>
      </w:pPr>
      <w:r>
        <w:rPr>
          <w:rFonts w:ascii="仿宋_GB2312" w:hAnsi="仿宋_GB2312" w:eastAsia="仿宋_GB2312"/>
          <w:b w:val="0"/>
          <w:color w:val="000000"/>
          <w:sz w:val="32"/>
        </w:rPr>
        <w:t>济南二机床集团(平阴)产业园有限公司为非上市企业（国企子公司），未公开披露经审计的年度财务报告，财务数据未公开披露。本部分无法提供经审计的财务报表及近三年关键会计数据，不编造具体财务数字。</w:t>
      </w:r>
    </w:p>
    <w:p>
      <w:pPr>
        <w:spacing w:lineRule="exact" w:line="600" w:before="120" w:after="120"/>
        <w:ind w:firstLine="420"/>
        <w:jc w:val="left"/>
      </w:pPr>
      <w:r>
        <w:rPr>
          <w:rFonts w:ascii="楷体_GB2312" w:hAnsi="楷体_GB2312" w:eastAsia="楷体_GB2312"/>
          <w:b w:val="0"/>
          <w:color w:val="000000"/>
          <w:sz w:val="32"/>
        </w:rPr>
        <w:t>（二）经营规模参考</w:t>
      </w:r>
    </w:p>
    <w:p>
      <w:pPr>
        <w:spacing w:lineRule="exact" w:line="600" w:before="0" w:after="0"/>
        <w:ind w:firstLine="420"/>
        <w:jc w:val="both"/>
      </w:pPr>
      <w:r>
        <w:rPr>
          <w:rFonts w:ascii="仿宋_GB2312" w:hAnsi="仿宋_GB2312" w:eastAsia="仿宋_GB2312"/>
          <w:b w:val="0"/>
          <w:color w:val="000000"/>
          <w:sz w:val="32"/>
        </w:rPr>
        <w:t>据平阴县官方报道，公司高端机床铸件智能产线升级项目（总投资3亿元）建成达产后年产值将突破6亿元、新增年产能1.4万吨。上述为项目规划值，非经审计财务数据，仅供研判参考。</w:t>
      </w:r>
    </w:p>
    <w:p>
      <w:pPr>
        <w:spacing w:lineRule="exact" w:line="600" w:before="120" w:after="120"/>
        <w:ind w:firstLine="420"/>
        <w:jc w:val="left"/>
      </w:pPr>
      <w:r>
        <w:rPr>
          <w:rFonts w:ascii="楷体_GB2312" w:hAnsi="楷体_GB2312" w:eastAsia="楷体_GB2312"/>
          <w:b w:val="0"/>
          <w:color w:val="000000"/>
          <w:sz w:val="32"/>
        </w:rPr>
        <w:t>（三）资产与资金状况研判</w:t>
      </w:r>
    </w:p>
    <w:p>
      <w:pPr>
        <w:spacing w:lineRule="exact" w:line="600" w:before="0" w:after="0"/>
        <w:ind w:firstLine="420"/>
        <w:jc w:val="both"/>
      </w:pPr>
      <w:r>
        <w:rPr>
          <w:rFonts w:ascii="仿宋_GB2312" w:hAnsi="仿宋_GB2312" w:eastAsia="仿宋_GB2312"/>
          <w:b w:val="0"/>
          <w:color w:val="000000"/>
          <w:sz w:val="32"/>
        </w:rPr>
        <w:t>公司注册资本1.2亿元、占地约500亩、在建3亿元智能产线，资产规模较大；作为国企子公司，资金与信用由集团背书，融资能力较强。但缺乏经审计报表，资产负债率、现金流等无法核实。</w:t>
      </w:r>
    </w:p>
    <w:p>
      <w:pPr>
        <w:spacing w:lineRule="exact" w:line="600" w:before="120" w:after="120"/>
        <w:ind w:firstLine="420"/>
        <w:jc w:val="left"/>
      </w:pPr>
      <w:r>
        <w:rPr>
          <w:rFonts w:ascii="楷体_GB2312" w:hAnsi="楷体_GB2312" w:eastAsia="楷体_GB2312"/>
          <w:b w:val="0"/>
          <w:color w:val="000000"/>
          <w:sz w:val="32"/>
        </w:rPr>
        <w:t>（四）对标与提示</w:t>
      </w:r>
    </w:p>
    <w:p>
      <w:pPr>
        <w:spacing w:lineRule="exact" w:line="600" w:before="0" w:after="0"/>
        <w:ind w:firstLine="420"/>
        <w:jc w:val="both"/>
      </w:pPr>
      <w:r>
        <w:rPr>
          <w:rFonts w:ascii="仿宋_GB2312" w:hAnsi="仿宋_GB2312" w:eastAsia="仿宋_GB2312"/>
          <w:b w:val="0"/>
          <w:color w:val="000000"/>
          <w:sz w:val="32"/>
        </w:rPr>
        <w:t>对标大型装备制造企业铸件配套基地。投资应关注其与集团的关联交易定价、独立盈利能力及项目达产进度。</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公司为济南二机床集团全资子公司，治理纳入集团国企体系，法定代表人古元军。作为国有企业，治理规范、受国资监管，设有党总支，党建与"三重一大"机制健全。</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法定代表人古元军；党总支副书记、副总经理佟庆顺负责生产经营与党建。管理层具重型装备制造与铸造行业背景，传承济南二机床"艰苦奋斗"的国企基因。</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公司按工序化组织生产（模型、造型、熔炼、加工），并设党总支强化政治引领与安全生产。作为国企基地，内控、质量与安全体系规范，强调"精度、品质、效率"。</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参保约232人（公开报道职工360余人），拥有一线造型、熔炼、数控加工技术工人队伍，及"一坑两件"工艺改革带头人张宁等技能人才。国企平台利于稳定技工队伍与技能传承。</w:t>
      </w:r>
    </w:p>
    <w:p>
      <w:pPr>
        <w:spacing w:lineRule="exact" w:line="600" w:before="120" w:after="120"/>
        <w:ind w:firstLine="420"/>
        <w:jc w:val="left"/>
      </w:pPr>
      <w:r>
        <w:rPr>
          <w:rFonts w:ascii="黑体" w:hAnsi="黑体" w:eastAsia="黑体"/>
          <w:b w:val="0"/>
          <w:color w:val="000000"/>
          <w:sz w:val="32"/>
        </w:rPr>
        <w:t>五、核心竞争力</w:t>
      </w:r>
    </w:p>
    <w:p>
      <w:pPr>
        <w:spacing w:lineRule="exact" w:line="600" w:before="120" w:after="120"/>
        <w:ind w:firstLine="420"/>
        <w:jc w:val="left"/>
      </w:pPr>
      <w:r>
        <w:rPr>
          <w:rFonts w:ascii="楷体_GB2312" w:hAnsi="楷体_GB2312" w:eastAsia="楷体_GB2312"/>
          <w:b w:val="0"/>
          <w:color w:val="000000"/>
          <w:sz w:val="32"/>
        </w:rPr>
        <w:t>（一）集团主业协同壁垒</w:t>
      </w:r>
    </w:p>
    <w:p>
      <w:pPr>
        <w:spacing w:lineRule="exact" w:line="600" w:before="0" w:after="0"/>
        <w:ind w:firstLine="420"/>
        <w:jc w:val="both"/>
      </w:pPr>
      <w:r>
        <w:rPr>
          <w:rFonts w:ascii="仿宋_GB2312" w:hAnsi="仿宋_GB2312" w:eastAsia="仿宋_GB2312"/>
          <w:b w:val="0"/>
          <w:color w:val="000000"/>
          <w:sz w:val="32"/>
        </w:rPr>
        <w:t>作为济南二机床（世界三大数控冲压装备制造商之一）的核心铸件基地，深度绑定集团龙头地位与全球67国客户，订单与品牌护城河深厚。</w:t>
      </w:r>
    </w:p>
    <w:p>
      <w:pPr>
        <w:spacing w:lineRule="exact" w:line="600" w:before="120" w:after="120"/>
        <w:ind w:firstLine="420"/>
        <w:jc w:val="left"/>
      </w:pPr>
      <w:r>
        <w:rPr>
          <w:rFonts w:ascii="楷体_GB2312" w:hAnsi="楷体_GB2312" w:eastAsia="楷体_GB2312"/>
          <w:b w:val="0"/>
          <w:color w:val="000000"/>
          <w:sz w:val="32"/>
        </w:rPr>
        <w:t>（二）大型铸件工艺能力</w:t>
      </w:r>
    </w:p>
    <w:p>
      <w:pPr>
        <w:spacing w:lineRule="exact" w:line="600" w:before="0" w:after="0"/>
        <w:ind w:firstLine="420"/>
        <w:jc w:val="both"/>
      </w:pPr>
      <w:r>
        <w:rPr>
          <w:rFonts w:ascii="仿宋_GB2312" w:hAnsi="仿宋_GB2312" w:eastAsia="仿宋_GB2312"/>
          <w:b w:val="0"/>
          <w:color w:val="000000"/>
          <w:sz w:val="32"/>
        </w:rPr>
        <w:t>具备大型复杂铸件（床身、底座）的造型、熔炼与精度控制能力，"一坑两件"等工艺创新使设备利用率翻倍，工艺壁垒显著。</w:t>
      </w:r>
    </w:p>
    <w:p>
      <w:pPr>
        <w:spacing w:lineRule="exact" w:line="600" w:before="120" w:after="120"/>
        <w:ind w:firstLine="420"/>
        <w:jc w:val="left"/>
      </w:pPr>
      <w:r>
        <w:rPr>
          <w:rFonts w:ascii="楷体_GB2312" w:hAnsi="楷体_GB2312" w:eastAsia="楷体_GB2312"/>
          <w:b w:val="0"/>
          <w:color w:val="000000"/>
          <w:sz w:val="32"/>
        </w:rPr>
        <w:t>（三）数字化铸造升级</w:t>
      </w:r>
    </w:p>
    <w:p>
      <w:pPr>
        <w:spacing w:lineRule="exact" w:line="600" w:before="0" w:after="0"/>
        <w:ind w:firstLine="420"/>
        <w:jc w:val="both"/>
      </w:pPr>
      <w:r>
        <w:rPr>
          <w:rFonts w:ascii="仿宋_GB2312" w:hAnsi="仿宋_GB2312" w:eastAsia="仿宋_GB2312"/>
          <w:b w:val="0"/>
          <w:color w:val="000000"/>
          <w:sz w:val="32"/>
        </w:rPr>
        <w:t>在建3亿元智能产线引入3D打印与智能化产线，向绿色、智能铸造转型，将强化核心部件自主可控与精度稳定性。</w:t>
      </w:r>
    </w:p>
    <w:p>
      <w:pPr>
        <w:spacing w:lineRule="exact" w:line="600" w:before="120" w:after="120"/>
        <w:ind w:firstLine="420"/>
        <w:jc w:val="left"/>
      </w:pPr>
      <w:r>
        <w:rPr>
          <w:rFonts w:ascii="楷体_GB2312" w:hAnsi="楷体_GB2312" w:eastAsia="楷体_GB2312"/>
          <w:b w:val="0"/>
          <w:color w:val="000000"/>
          <w:sz w:val="32"/>
        </w:rPr>
        <w:t>（四）国资信用与资源</w:t>
      </w:r>
    </w:p>
    <w:p>
      <w:pPr>
        <w:spacing w:lineRule="exact" w:line="600" w:before="0" w:after="0"/>
        <w:ind w:firstLine="420"/>
        <w:jc w:val="both"/>
      </w:pPr>
      <w:r>
        <w:rPr>
          <w:rFonts w:ascii="仿宋_GB2312" w:hAnsi="仿宋_GB2312" w:eastAsia="仿宋_GB2312"/>
          <w:b w:val="0"/>
          <w:color w:val="000000"/>
          <w:sz w:val="32"/>
        </w:rPr>
        <w:t>国企背景带来信用、融资与政策资源，以及稳定的技工队伍与质量体系。</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（一）行业与周期风险</w:t>
      </w:r>
    </w:p>
    <w:p>
      <w:pPr>
        <w:spacing w:lineRule="exact" w:line="600" w:before="0" w:after="0"/>
        <w:ind w:firstLine="420"/>
        <w:jc w:val="both"/>
      </w:pPr>
      <w:r>
        <w:rPr>
          <w:rFonts w:ascii="仿宋_GB2312" w:hAnsi="仿宋_GB2312" w:eastAsia="仿宋_GB2312"/>
          <w:b w:val="0"/>
          <w:color w:val="000000"/>
          <w:sz w:val="32"/>
        </w:rPr>
        <w:t>公司业务依附机床与汽车装备周期，下游（车企资本开支、机床需求）波动将传导至铸件订单；新能源汽车冲压线需求波动亦影响产能利用。</w:t>
      </w:r>
    </w:p>
    <w:p>
      <w:pPr>
        <w:spacing w:lineRule="exact" w:line="600" w:before="120" w:after="120"/>
        <w:ind w:firstLine="420"/>
        <w:jc w:val="left"/>
      </w:pPr>
      <w:r>
        <w:rPr>
          <w:rFonts w:ascii="楷体_GB2312" w:hAnsi="楷体_GB2312" w:eastAsia="楷体_GB2312"/>
          <w:b w:val="0"/>
          <w:color w:val="000000"/>
          <w:sz w:val="32"/>
        </w:rPr>
        <w:t>（二）经营与供应链风险</w:t>
      </w:r>
    </w:p>
    <w:p>
      <w:pPr>
        <w:spacing w:lineRule="exact" w:line="600" w:before="0" w:after="0"/>
        <w:ind w:firstLine="420"/>
        <w:jc w:val="both"/>
      </w:pPr>
      <w:r>
        <w:rPr>
          <w:rFonts w:ascii="仿宋_GB2312" w:hAnsi="仿宋_GB2312" w:eastAsia="仿宋_GB2312"/>
          <w:b w:val="0"/>
          <w:color w:val="000000"/>
          <w:sz w:val="32"/>
        </w:rPr>
        <w:t>客户高度集中于集团，独立市场化能力弱；原材料（生铁、合金）价格波动影响毛利；铸造属高能耗、环保重点监管领域。</w:t>
      </w:r>
    </w:p>
    <w:p>
      <w:pPr>
        <w:spacing w:lineRule="exact" w:line="600" w:before="120" w:after="120"/>
        <w:ind w:firstLine="420"/>
        <w:jc w:val="left"/>
      </w:pPr>
      <w:r>
        <w:rPr>
          <w:rFonts w:ascii="楷体_GB2312" w:hAnsi="楷体_GB2312" w:eastAsia="楷体_GB2312"/>
          <w:b w:val="0"/>
          <w:color w:val="000000"/>
          <w:sz w:val="32"/>
        </w:rPr>
        <w:t>（三）财务与合规风险</w:t>
      </w:r>
    </w:p>
    <w:p>
      <w:pPr>
        <w:spacing w:lineRule="exact" w:line="600" w:before="0" w:after="0"/>
        <w:ind w:firstLine="420"/>
        <w:jc w:val="both"/>
      </w:pPr>
      <w:r>
        <w:rPr>
          <w:rFonts w:ascii="仿宋_GB2312" w:hAnsi="仿宋_GB2312" w:eastAsia="仿宋_GB2312"/>
          <w:b w:val="0"/>
          <w:color w:val="000000"/>
          <w:sz w:val="32"/>
        </w:rPr>
        <w:t>公司财务未公开披露，作为国企子公司受国资与审计监管，合规性强；但环保、安全生产（熔炼、造型）要求高，需持续投入达标。</w:t>
      </w:r>
    </w:p>
    <w:p>
      <w:pPr>
        <w:spacing w:lineRule="exact" w:line="600" w:before="120" w:after="120"/>
        <w:ind w:firstLine="420"/>
        <w:jc w:val="left"/>
      </w:pPr>
      <w:r>
        <w:rPr>
          <w:rFonts w:ascii="楷体_GB2312" w:hAnsi="楷体_GB2312" w:eastAsia="楷体_GB2312"/>
          <w:b w:val="0"/>
          <w:color w:val="000000"/>
          <w:sz w:val="32"/>
        </w:rPr>
        <w:t>（四）项目风险</w:t>
      </w:r>
    </w:p>
    <w:p>
      <w:pPr>
        <w:spacing w:lineRule="exact" w:line="600" w:before="0" w:after="0"/>
        <w:ind w:firstLine="420"/>
        <w:jc w:val="both"/>
      </w:pPr>
      <w:r>
        <w:rPr>
          <w:rFonts w:ascii="仿宋_GB2312" w:hAnsi="仿宋_GB2312" w:eastAsia="仿宋_GB2312"/>
          <w:b w:val="0"/>
          <w:color w:val="000000"/>
          <w:sz w:val="32"/>
        </w:rPr>
        <w:t>3亿元智能产线升级项目工期紧、投资大，存在建设进度、达产不及预期及折旧压力风险。</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120" w:after="120"/>
        <w:ind w:firstLine="420"/>
        <w:jc w:val="left"/>
      </w:pPr>
      <w:r>
        <w:rPr>
          <w:rFonts w:ascii="楷体_GB2312" w:hAnsi="楷体_GB2312" w:eastAsia="楷体_GB2312"/>
          <w:b w:val="0"/>
          <w:color w:val="000000"/>
          <w:sz w:val="32"/>
        </w:rPr>
        <w:t>（一）融资租赁</w:t>
      </w:r>
    </w:p>
    <w:p>
      <w:pPr>
        <w:spacing w:lineRule="exact" w:line="600" w:before="0" w:after="0"/>
        <w:ind w:firstLine="420"/>
        <w:jc w:val="both"/>
      </w:pPr>
      <w:r>
        <w:rPr>
          <w:rFonts w:ascii="仿宋_GB2312" w:hAnsi="仿宋_GB2312" w:eastAsia="仿宋_GB2312"/>
          <w:b w:val="0"/>
          <w:color w:val="000000"/>
          <w:sz w:val="32"/>
        </w:rPr>
        <w:t>公司3亿元智能产线升级涉及大量智能装备与3D打印设备，可通过融资租赁分摊资本开支、优化现金流。</w:t>
      </w:r>
    </w:p>
    <w:p>
      <w:pPr>
        <w:spacing w:lineRule="exact" w:line="600" w:before="120" w:after="120"/>
        <w:ind w:firstLine="420"/>
        <w:jc w:val="left"/>
      </w:pPr>
      <w:r>
        <w:rPr>
          <w:rFonts w:ascii="楷体_GB2312" w:hAnsi="楷体_GB2312" w:eastAsia="楷体_GB2312"/>
          <w:b w:val="0"/>
          <w:color w:val="000000"/>
          <w:sz w:val="32"/>
        </w:rPr>
        <w:t>（二）供应链金融</w:t>
      </w:r>
    </w:p>
    <w:p>
      <w:pPr>
        <w:spacing w:lineRule="exact" w:line="600" w:before="0" w:after="0"/>
        <w:ind w:firstLine="420"/>
        <w:jc w:val="both"/>
      </w:pPr>
      <w:r>
        <w:rPr>
          <w:rFonts w:ascii="仿宋_GB2312" w:hAnsi="仿宋_GB2312" w:eastAsia="仿宋_GB2312"/>
          <w:b w:val="0"/>
          <w:color w:val="000000"/>
          <w:sz w:val="32"/>
        </w:rPr>
        <w:t>上游原材料与设备供应商存在账期，可开展应收账款保理，支持产线建设与日常运营资金。</w:t>
      </w:r>
    </w:p>
    <w:p>
      <w:pPr>
        <w:spacing w:lineRule="exact" w:line="600" w:before="120" w:after="120"/>
        <w:ind w:firstLine="420"/>
        <w:jc w:val="left"/>
      </w:pPr>
      <w:r>
        <w:rPr>
          <w:rFonts w:ascii="楷体_GB2312" w:hAnsi="楷体_GB2312" w:eastAsia="楷体_GB2312"/>
          <w:b w:val="0"/>
          <w:color w:val="000000"/>
          <w:sz w:val="32"/>
        </w:rPr>
        <w:t>（三）产业基金</w:t>
      </w:r>
    </w:p>
    <w:p>
      <w:pPr>
        <w:spacing w:lineRule="exact" w:line="600" w:before="0" w:after="0"/>
        <w:ind w:firstLine="420"/>
        <w:jc w:val="both"/>
      </w:pPr>
      <w:r>
        <w:rPr>
          <w:rFonts w:ascii="仿宋_GB2312" w:hAnsi="仿宋_GB2312" w:eastAsia="仿宋_GB2312"/>
          <w:b w:val="0"/>
          <w:color w:val="000000"/>
          <w:sz w:val="32"/>
        </w:rPr>
        <w:t>围绕济南二机床"绿色、智能铸造领军企业"目标，山东投资可探讨通过产业基金支持其智能产线升级与高端铸件产能扩张。</w:t>
      </w:r>
    </w:p>
    <w:p>
      <w:pPr>
        <w:spacing w:lineRule="exact" w:line="600" w:before="120" w:after="120"/>
        <w:ind w:firstLine="420"/>
        <w:jc w:val="left"/>
      </w:pPr>
      <w:r>
        <w:rPr>
          <w:rFonts w:ascii="楷体_GB2312" w:hAnsi="楷体_GB2312" w:eastAsia="楷体_GB2312"/>
          <w:b w:val="0"/>
          <w:color w:val="000000"/>
          <w:sz w:val="32"/>
        </w:rPr>
        <w:t>（四）综合建议</w:t>
      </w:r>
    </w:p>
    <w:p>
      <w:pPr>
        <w:spacing w:lineRule="exact" w:line="600" w:before="0" w:after="0"/>
        <w:ind w:firstLine="420"/>
        <w:jc w:val="both"/>
      </w:pPr>
      <w:r>
        <w:rPr>
          <w:rFonts w:ascii="仿宋_GB2312" w:hAnsi="仿宋_GB2312" w:eastAsia="仿宋_GB2312"/>
          <w:b w:val="0"/>
          <w:color w:val="000000"/>
          <w:sz w:val="32"/>
        </w:rPr>
        <w:t>建议以融资租赁与供应链金融切入，支持其智能产线升级，将其作为服务平阴高端装备、协同济南二机床龙头的重要标的。</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（一）综合小结</w:t>
      </w:r>
    </w:p>
    <w:p>
      <w:pPr>
        <w:spacing w:lineRule="exact" w:line="600" w:before="0" w:after="0"/>
        <w:ind w:firstLine="420"/>
        <w:jc w:val="both"/>
      </w:pPr>
      <w:r>
        <w:rPr>
          <w:rFonts w:ascii="仿宋_GB2312" w:hAnsi="仿宋_GB2312" w:eastAsia="仿宋_GB2312"/>
          <w:b w:val="0"/>
          <w:color w:val="000000"/>
          <w:sz w:val="32"/>
        </w:rPr>
        <w:t>济南二机床集团(平阴)产业园是济南二机床集团的高端铸件智能制造基地，工艺与客户壁垒深厚、国资信用强，正通过3亿元智能产线升级迈向绿色智能铸造，是平阴高端装备结构件集群的关键支撑。</w:t>
      </w:r>
    </w:p>
    <w:p>
      <w:pPr>
        <w:spacing w:lineRule="exact" w:line="600" w:before="120" w:after="120"/>
        <w:ind w:firstLine="420"/>
        <w:jc w:val="left"/>
      </w:pPr>
      <w:r>
        <w:rPr>
          <w:rFonts w:ascii="楷体_GB2312" w:hAnsi="楷体_GB2312" w:eastAsia="楷体_GB2312"/>
          <w:b w:val="0"/>
          <w:color w:val="000000"/>
          <w:sz w:val="32"/>
        </w:rPr>
        <w:t>（二）发展展望</w:t>
      </w:r>
    </w:p>
    <w:p>
      <w:pPr>
        <w:spacing w:lineRule="exact" w:line="600" w:before="0" w:after="0"/>
        <w:ind w:firstLine="420"/>
        <w:jc w:val="both"/>
      </w:pPr>
      <w:r>
        <w:rPr>
          <w:rFonts w:ascii="仿宋_GB2312" w:hAnsi="仿宋_GB2312" w:eastAsia="仿宋_GB2312"/>
          <w:b w:val="0"/>
          <w:color w:val="000000"/>
          <w:sz w:val="32"/>
        </w:rPr>
        <w:t>据项目规划，2026年10月智能产线投产后年产值突破6亿元、新增产能1.4万吨，将升级为智能化、绿色化高端铸件生产基地，契合集团核心部件自主可控战略。</w:t>
      </w:r>
    </w:p>
    <w:p>
      <w:pPr>
        <w:spacing w:lineRule="exact" w:line="600" w:before="120" w:after="120"/>
        <w:ind w:firstLine="420"/>
        <w:jc w:val="left"/>
      </w:pPr>
      <w:r>
        <w:rPr>
          <w:rFonts w:ascii="楷体_GB2312" w:hAnsi="楷体_GB2312" w:eastAsia="楷体_GB2312"/>
          <w:b w:val="0"/>
          <w:color w:val="000000"/>
          <w:sz w:val="32"/>
        </w:rPr>
        <w:t>（三）挑战</w:t>
      </w:r>
    </w:p>
    <w:p>
      <w:pPr>
        <w:spacing w:lineRule="exact" w:line="600" w:before="0" w:after="0"/>
        <w:ind w:firstLine="420"/>
        <w:jc w:val="both"/>
      </w:pPr>
      <w:r>
        <w:rPr>
          <w:rFonts w:ascii="仿宋_GB2312" w:hAnsi="仿宋_GB2312" w:eastAsia="仿宋_GB2312"/>
          <w:b w:val="0"/>
          <w:color w:val="000000"/>
          <w:sz w:val="32"/>
        </w:rPr>
        <w:t>挑战在于客户集中、行业周期、财务透明度不足及重资产项目的折旧与达产风险。</w:t>
      </w:r>
    </w:p>
    <w:p>
      <w:pPr>
        <w:spacing w:lineRule="exact" w:line="600" w:before="120" w:after="120"/>
        <w:ind w:firstLine="420"/>
        <w:jc w:val="left"/>
      </w:pPr>
      <w:r>
        <w:rPr>
          <w:rFonts w:ascii="楷体_GB2312" w:hAnsi="楷体_GB2312" w:eastAsia="楷体_GB2312"/>
          <w:b w:val="0"/>
          <w:color w:val="000000"/>
          <w:sz w:val="32"/>
        </w:rPr>
        <w:t>（四）结论与建议</w:t>
      </w:r>
    </w:p>
    <w:p>
      <w:pPr>
        <w:spacing w:lineRule="exact" w:line="600" w:before="0" w:after="0"/>
        <w:ind w:firstLine="420"/>
        <w:jc w:val="both"/>
      </w:pPr>
      <w:r>
        <w:rPr>
          <w:rFonts w:ascii="仿宋_GB2312" w:hAnsi="仿宋_GB2312" w:eastAsia="仿宋_GB2312"/>
          <w:b w:val="0"/>
          <w:color w:val="000000"/>
          <w:sz w:val="32"/>
        </w:rPr>
        <w:t>建议山东投资以融资租赁、供应链金融及产业基金多维切入，在核实关联交易与项目进度基础上，将其作为服务平阴高端装备结构件智能制造集群、协同济南二机床龙头的重点标的。</w:t>
      </w:r>
    </w:p>
    <w:p>
      <w:pPr>
        <w:spacing w:lineRule="exact" w:line="600" w:before="120" w:after="120"/>
        <w:ind w:firstLine="420"/>
        <w:jc w:val="left"/>
      </w:pPr>
      <w:r>
        <w:rPr>
          <w:rFonts w:ascii="楷体_GB2312" w:hAnsi="楷体_GB2312" w:eastAsia="楷体_GB2312"/>
          <w:b w:val="0"/>
          <w:color w:val="000000"/>
          <w:sz w:val="32"/>
        </w:rPr>
        <w:t>数据来源说明</w:t>
      </w:r>
    </w:p>
    <w:p>
      <w:pPr>
        <w:spacing w:lineRule="exact" w:line="600" w:before="0" w:after="0"/>
        <w:jc w:val="left"/>
      </w:pPr>
      <w:r>
        <w:rPr>
          <w:rFonts w:ascii="仿宋_GB2312" w:hAnsi="仿宋_GB2312" w:eastAsia="仿宋_GB2312"/>
          <w:b w:val="0"/>
          <w:color w:val="000000"/>
          <w:sz w:val="28"/>
        </w:rPr>
        <w:t>本报告数据来源于：1）企业公开工商信息（天眼查，含成立时间、注册资本、法人、参保、经营范围等）；2）平阴县官方媒体（掌上平阴/爱平阴）《工业生产全面回暖，发展动能强劲充沛！锦水街道全面复产提速》；3）平阴县自然资源局服务企业报道（高端机床铸件智能产线升级项目，总投资3亿、年产值突破6亿）；4）大众网/山东装备制造业博览会报道《总投资3亿！济南二机床升级智能产线！》（项目2026年10月建成、出口67国等）。财务数据因公司为非上市企业未公开披露，已如实标注，未编造具体数字。</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