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平阴县高端装备结构件智能制造特色产业集群</w:t>
      </w:r>
    </w:p>
    <w:p>
      <w:pPr>
        <w:spacing w:lineRule="exact" w:line="600" w:before="240" w:after="240"/>
        <w:ind w:firstLine="0"/>
        <w:jc w:val="center"/>
      </w:pPr>
      <w:r>
        <w:rPr>
          <w:rFonts w:ascii="方正小标宋简体" w:hAnsi="方正小标宋简体" w:eastAsia="方正小标宋简体"/>
          <w:b w:val="0"/>
          <w:color w:val="000000"/>
          <w:sz w:val="44"/>
        </w:rPr>
        <w:t>玫德集团有限公司企业分析报告</w:t>
      </w:r>
    </w:p>
    <w:p>
      <w:pPr>
        <w:spacing w:lineRule="exact" w:line="600" w:before="0" w:after="0"/>
        <w:jc w:val="left"/>
      </w:pPr>
      <w:r>
        <w:rPr>
          <w:rFonts w:ascii="仿宋_GB2312" w:hAnsi="仿宋_GB2312" w:eastAsia="仿宋_GB2312"/>
          <w:b w:val="0"/>
          <w:color w:val="000000"/>
          <w:sz w:val="28"/>
        </w:rPr>
        <w:t>（本报告数据来源于玫德集团官网、天眼查及大众网、舜网、济南时报、中国新闻网等公开报道，统计时点截至最新披露信息。该公司为非上市民营企业，未公开披露经审计的年度财务报告，官网披露营收为经营参考值，相关部分已如实标注，未编造经审计财务数字。）</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玫德集团有限公司创始于1961年，前身为平阴县五金厂，系从县属集体小厂经改制发展起来的民营跨国企业集团，注册地位于山东省济南市平阴县。集团董事局主席为孔令磊（荣誉董事长孔祥存之子，1992年孔祥存接掌企业并推动由集体转民营）。集团作为有限责任公司，由创始人家族及管理层团队控股，实际控制人为孔氏家族。集团是全球领先的流体输送产品制造商和解决方案专家，中国玛钢管件生产基地龙头企业、工信部制造业单项冠军企业。</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集团已形成跨区域、多基地、全球化发展格局，拥有济南、临沂、泰安、威海、鹤壁、肇庆、淄博、泰国、越南、波兰、马来西亚等11个海内外生产基地、25家数字化工厂、19个海外国家代表处，占地3.9平方公里，员工超15000人（其中海外员工2000余人）。集团设立市政BG、建筑BG、工业&amp;电力BG三大端到端商业组织，依托智能制造、工程服务、金融服务三大支撑平台；旗下拥有迈科管业（2019年于香港主板上市）等成员企业，并孵化济南科德智能科技有限公司对外输出数字化能力。</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集团1961年创立，1992年孔祥存接掌并推动民营化；2003年打赢美国反倾销官司，成为中国玛钢行业首家胜诉企业；2017年起先后完成泰国、越南海外并购，2019年并购深圳雅昌科技进入不锈钢领域，同年迈科管业港股上市、集团营收首破百亿（101.23亿元）；2020年成立科德智能对外赋能；2021年迎来创立60周年并提出"百年玫德、千亿征程"战略；2024年发布千亿战略路线图。集团持续推进"智能制造+智能产品"双智行动，数字化转型历时20余年。</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集团战略定位为全球流体输送产品制造商与解决方案专家，业务聚焦水务、消防、燃气、暖通、电力等流体输送领域，提供涵盖管道传输、管件连接、数采计量、监控与控制的"一站式"流体输送解决方案，并向智慧水务、智慧消防、智慧能源等数字化平台延伸。核心产品包括玛钢沟槽管件、阀门、螺旋钢管、不锈钢管件等，年产流体输送产品200余万吨。</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集团收入按业务划分为流体输送硬件产品（管件、阀门、钢管等）与智能产品/解决方案（智慧水务、智慧消防等软件平台）两大类；按市场划分为国内与海外，出口收入占比已由2018年的52%调整至约30%，全球化布局均衡。集团主营收入近200亿元（公开报道口径），2024年全球营收205亿元、2025年全球营收234亿元（官网口径）。</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核心产品为玛钢管件、沟槽管件、阀门、螺旋钢管、不锈钢管件等流体输送硬件，以及智慧水务/消防/能源等数字化平台与运维服务。产品应用于纽约新世贸中心、上海中心大厦、西电东送特高压、京沪高铁等地标项目，在诸多区域市场占有率超过50%。集团是百余项国家/行业标准起草者，拥有1000余项专利。</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客户覆盖市政、建筑、工业&amp;电力三大商业集群，包括水务公司、房企、工业园区、能源与电力企业等，通过全球合作伙伴网络服务140多个国家和地区。海外市场以欧美及"一带一路"沿线为主，国内依托经销商体系覆盖重点工程与地标项目。</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集团以铸造、机加工为核心，原材料以生铁、钢材、合金等为主，依托多基地布局与规模化采购控制成本；同时具备短流程铸造能力（威海鑫山铁厂等基地）。供应链以自有产能为主、外部协作补充，质量与交付可控。</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集团拥有11个海内外生产基地、25家数字化工厂、占地3.9平方公里，年产流体输送产品200余万吨，具备从铸造到精加工、从硬件到软件的全链条能力。持有国家级企业技术中心、博士后科研工作站，参与制定100余项国家/行业标准，资质与研发资源雄厚。</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销售渠道以"全球合作伙伴+经销商"为主，国内设经销商大会（2024年400余名经销商参会），海外设19个国家代表处，线上线下结合；并通过EPC/工程总包与解决方案直销服务大客户。</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据公开报道，集团主营收入近200亿元，2024年全球营收205亿元、2025年234亿元（官网）；在玛钢管件等细分领域全球领先，诸多区域市占率超50%。集团为中国制造业民营企业500强、中国轻工业百强，是平阴县工业领域的旗帜性企业。</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（一）财务数据披露情况</w:t>
      </w:r>
    </w:p>
    <w:p>
      <w:pPr>
        <w:spacing w:lineRule="exact" w:line="600" w:before="0" w:after="0"/>
        <w:ind w:firstLine="420"/>
        <w:jc w:val="both"/>
      </w:pPr>
      <w:r>
        <w:rPr>
          <w:rFonts w:ascii="仿宋_GB2312" w:hAnsi="仿宋_GB2312" w:eastAsia="仿宋_GB2312"/>
          <w:b w:val="0"/>
          <w:color w:val="000000"/>
          <w:sz w:val="32"/>
        </w:rPr>
        <w:t>玫德集团为非上市民营企业，未公开披露经审计的年度财务报告，财务数据未公开披露。集团官网披露2024年全球营收205亿元、2025年全球营收234亿元、负债0元等经营参考值，但均非经审计财务数据。本部分不编造经审计的资产负债表、利润表、现金流量表及关键会计数据。</w:t>
      </w:r>
    </w:p>
    <w:p>
      <w:pPr>
        <w:spacing w:lineRule="exact" w:line="600" w:before="120" w:after="120"/>
        <w:ind w:firstLine="420"/>
        <w:jc w:val="left"/>
      </w:pPr>
      <w:r>
        <w:rPr>
          <w:rFonts w:ascii="楷体_GB2312" w:hAnsi="楷体_GB2312" w:eastAsia="楷体_GB2312"/>
          <w:b w:val="0"/>
          <w:color w:val="000000"/>
          <w:sz w:val="32"/>
        </w:rPr>
        <w:t>（二）经营规模参考</w:t>
      </w:r>
    </w:p>
    <w:p>
      <w:pPr>
        <w:spacing w:lineRule="exact" w:line="600" w:before="0" w:after="0"/>
        <w:ind w:firstLine="420"/>
        <w:jc w:val="both"/>
      </w:pPr>
      <w:r>
        <w:rPr>
          <w:rFonts w:ascii="仿宋_GB2312" w:hAnsi="仿宋_GB2312" w:eastAsia="仿宋_GB2312"/>
          <w:b w:val="0"/>
          <w:color w:val="000000"/>
          <w:sz w:val="32"/>
        </w:rPr>
        <w:t>据公开报道与官网：集团2019年营收首破百亿（101.23亿元，同比增46.66%），主营收入近200亿元；2024年全球营收205亿元、2025年234亿元；出口收入占比由2018年52%降至约30%。上述为经营参考值，仅供研判。</w:t>
      </w:r>
    </w:p>
    <w:p>
      <w:pPr>
        <w:spacing w:lineRule="exact" w:line="600" w:before="120" w:after="120"/>
        <w:ind w:firstLine="420"/>
        <w:jc w:val="left"/>
      </w:pPr>
      <w:r>
        <w:rPr>
          <w:rFonts w:ascii="楷体_GB2312" w:hAnsi="楷体_GB2312" w:eastAsia="楷体_GB2312"/>
          <w:b w:val="0"/>
          <w:color w:val="000000"/>
          <w:sz w:val="32"/>
        </w:rPr>
        <w:t>（三）资产与资金状况研判</w:t>
      </w:r>
    </w:p>
    <w:p>
      <w:pPr>
        <w:spacing w:lineRule="exact" w:line="600" w:before="0" w:after="0"/>
        <w:ind w:firstLine="420"/>
        <w:jc w:val="both"/>
      </w:pPr>
      <w:r>
        <w:rPr>
          <w:rFonts w:ascii="仿宋_GB2312" w:hAnsi="仿宋_GB2312" w:eastAsia="仿宋_GB2312"/>
          <w:b w:val="0"/>
          <w:color w:val="000000"/>
          <w:sz w:val="32"/>
        </w:rPr>
        <w:t>集团拥有11个海内外生产基地、3.9平方公里占地、15000余名员工及逾千亿战略投入，资产规模庞大；官网称"负债0元"反映其低杠杆、强自我造血特征。但缺乏经审计报表，资产负债率、现金流等核心指标无法核实，建议尽调补充获取合并口径财务数据。</w:t>
      </w:r>
    </w:p>
    <w:p>
      <w:pPr>
        <w:spacing w:lineRule="exact" w:line="600" w:before="120" w:after="120"/>
        <w:ind w:firstLine="420"/>
        <w:jc w:val="left"/>
      </w:pPr>
      <w:r>
        <w:rPr>
          <w:rFonts w:ascii="楷体_GB2312" w:hAnsi="楷体_GB2312" w:eastAsia="楷体_GB2312"/>
          <w:b w:val="0"/>
          <w:color w:val="000000"/>
          <w:sz w:val="32"/>
        </w:rPr>
        <w:t>（四）对标与提示</w:t>
      </w:r>
    </w:p>
    <w:p>
      <w:pPr>
        <w:spacing w:lineRule="exact" w:line="600" w:before="0" w:after="0"/>
        <w:ind w:firstLine="420"/>
        <w:jc w:val="both"/>
      </w:pPr>
      <w:r>
        <w:rPr>
          <w:rFonts w:ascii="仿宋_GB2312" w:hAnsi="仿宋_GB2312" w:eastAsia="仿宋_GB2312"/>
          <w:b w:val="0"/>
          <w:color w:val="000000"/>
          <w:sz w:val="32"/>
        </w:rPr>
        <w:t>集团旗下迈科管业已在港上市，可作为估值与财务透明度的参照。对非上市母体，投资应重点核实合并营收真实性、关联交易及海外资产状况。</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集团实行董事局领导体制，董事局主席孔令磊，党委书记、董事局副主席郭雷，设有较规范的集团化治理架构。作为大型民营企业，集团建立了BG商业化组织与三大支撑平台，治理相对成熟。集团坚持党的领导，将党建融入企业发展（60周年峰会举行升旗仪式、强调"在红旗下成长"）。</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董事局主席孔令磊具深厚产业与全球化视野，提出"百年玫德、千亿征程"战略；党委书记、董事局副主席郭雷主导数字化转型与社会责任。管理层稳定、传承有序（孔祥存—孔令磊）。</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集团独创两化融合模式，建立"工业立库+MES"为核心的"精益一个流"智能工厂与全链条数字化管理（ERP、财务、人资等），内控与信息化水平行业领先。设有国家级企业技术中心与博士后工作站，研发管理规范。</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集团员工超15000人（海外2000余人），研发人员1400余人，每年研发投入占总营收5%以上。与济南市工业学校共建平阴县智能制造公共实训中心，开展"订单班"与师资共育，人才梯队建设扎实。</w:t>
      </w:r>
    </w:p>
    <w:p>
      <w:pPr>
        <w:spacing w:lineRule="exact" w:line="600" w:before="120" w:after="120"/>
        <w:ind w:firstLine="420"/>
        <w:jc w:val="left"/>
      </w:pPr>
      <w:r>
        <w:rPr>
          <w:rFonts w:ascii="黑体" w:hAnsi="黑体" w:eastAsia="黑体"/>
          <w:b w:val="0"/>
          <w:color w:val="000000"/>
          <w:sz w:val="32"/>
        </w:rPr>
        <w:t>五、核心竞争力</w:t>
      </w:r>
    </w:p>
    <w:p>
      <w:pPr>
        <w:spacing w:lineRule="exact" w:line="600" w:before="120" w:after="120"/>
        <w:ind w:firstLine="420"/>
        <w:jc w:val="left"/>
      </w:pPr>
      <w:r>
        <w:rPr>
          <w:rFonts w:ascii="楷体_GB2312" w:hAnsi="楷体_GB2312" w:eastAsia="楷体_GB2312"/>
          <w:b w:val="0"/>
          <w:color w:val="000000"/>
          <w:sz w:val="32"/>
        </w:rPr>
        <w:t>（一）规模与全球品牌壁垒</w:t>
      </w:r>
    </w:p>
    <w:p>
      <w:pPr>
        <w:spacing w:lineRule="exact" w:line="600" w:before="0" w:after="0"/>
        <w:ind w:firstLine="420"/>
        <w:jc w:val="both"/>
      </w:pPr>
      <w:r>
        <w:rPr>
          <w:rFonts w:ascii="仿宋_GB2312" w:hAnsi="仿宋_GB2312" w:eastAsia="仿宋_GB2312"/>
          <w:b w:val="0"/>
          <w:color w:val="000000"/>
          <w:sz w:val="32"/>
        </w:rPr>
        <w:t>全球玛钢管件龙头，在140余国销售、诸多区域市占率超50%，品牌与渠道壁垒深厚；11个海外基地+19个代表处构筑全球化护城河。</w:t>
      </w:r>
    </w:p>
    <w:p>
      <w:pPr>
        <w:spacing w:lineRule="exact" w:line="600" w:before="120" w:after="120"/>
        <w:ind w:firstLine="420"/>
        <w:jc w:val="left"/>
      </w:pPr>
      <w:r>
        <w:rPr>
          <w:rFonts w:ascii="楷体_GB2312" w:hAnsi="楷体_GB2312" w:eastAsia="楷体_GB2312"/>
          <w:b w:val="0"/>
          <w:color w:val="000000"/>
          <w:sz w:val="32"/>
        </w:rPr>
        <w:t>（二）技术与标准壁垒</w:t>
      </w:r>
    </w:p>
    <w:p>
      <w:pPr>
        <w:spacing w:lineRule="exact" w:line="600" w:before="0" w:after="0"/>
        <w:ind w:firstLine="420"/>
        <w:jc w:val="both"/>
      </w:pPr>
      <w:r>
        <w:rPr>
          <w:rFonts w:ascii="仿宋_GB2312" w:hAnsi="仿宋_GB2312" w:eastAsia="仿宋_GB2312"/>
          <w:b w:val="0"/>
          <w:color w:val="000000"/>
          <w:sz w:val="32"/>
        </w:rPr>
        <w:t>国家级企业技术中心、博士后工作站，1000余项专利、100余项国家/行业标准制定权，制造业单项冠军，技术领先且深度参与标准制定。</w:t>
      </w:r>
    </w:p>
    <w:p>
      <w:pPr>
        <w:spacing w:lineRule="exact" w:line="600" w:before="120" w:after="120"/>
        <w:ind w:firstLine="420"/>
        <w:jc w:val="left"/>
      </w:pPr>
      <w:r>
        <w:rPr>
          <w:rFonts w:ascii="楷体_GB2312" w:hAnsi="楷体_GB2312" w:eastAsia="楷体_GB2312"/>
          <w:b w:val="0"/>
          <w:color w:val="000000"/>
          <w:sz w:val="32"/>
        </w:rPr>
        <w:t>（三）数字化与智能制造能力</w:t>
      </w:r>
    </w:p>
    <w:p>
      <w:pPr>
        <w:spacing w:lineRule="exact" w:line="600" w:before="0" w:after="0"/>
        <w:ind w:firstLine="420"/>
        <w:jc w:val="both"/>
      </w:pPr>
      <w:r>
        <w:rPr>
          <w:rFonts w:ascii="仿宋_GB2312" w:hAnsi="仿宋_GB2312" w:eastAsia="仿宋_GB2312"/>
          <w:b w:val="0"/>
          <w:color w:val="000000"/>
          <w:sz w:val="32"/>
        </w:rPr>
        <w:t>20余年数字化转型，"工业立库+MES"模式行业标杆；"双智"战略使生产效率、质量与交付能力领先，并对外赋能（科德智能）。</w:t>
      </w:r>
    </w:p>
    <w:p>
      <w:pPr>
        <w:spacing w:lineRule="exact" w:line="600" w:before="120" w:after="120"/>
        <w:ind w:firstLine="420"/>
        <w:jc w:val="left"/>
      </w:pPr>
      <w:r>
        <w:rPr>
          <w:rFonts w:ascii="楷体_GB2312" w:hAnsi="楷体_GB2312" w:eastAsia="楷体_GB2312"/>
          <w:b w:val="0"/>
          <w:color w:val="000000"/>
          <w:sz w:val="32"/>
        </w:rPr>
        <w:t>（四）低成本与产业链一体化</w:t>
      </w:r>
    </w:p>
    <w:p>
      <w:pPr>
        <w:spacing w:lineRule="exact" w:line="600" w:before="0" w:after="0"/>
        <w:ind w:firstLine="420"/>
        <w:jc w:val="both"/>
      </w:pPr>
      <w:r>
        <w:rPr>
          <w:rFonts w:ascii="仿宋_GB2312" w:hAnsi="仿宋_GB2312" w:eastAsia="仿宋_GB2312"/>
          <w:b w:val="0"/>
          <w:color w:val="000000"/>
          <w:sz w:val="32"/>
        </w:rPr>
        <w:t>多基地、短流程铸造与规模化采购形成成本优势；从铸造到软件全链条自控，协同效应显著。</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120" w:after="120"/>
        <w:ind w:firstLine="420"/>
        <w:jc w:val="left"/>
      </w:pPr>
      <w:r>
        <w:rPr>
          <w:rFonts w:ascii="楷体_GB2312" w:hAnsi="楷体_GB2312" w:eastAsia="楷体_GB2312"/>
          <w:b w:val="0"/>
          <w:color w:val="000000"/>
          <w:sz w:val="32"/>
        </w:rPr>
        <w:t>（一）行业与周期风险</w:t>
      </w:r>
    </w:p>
    <w:p>
      <w:pPr>
        <w:spacing w:lineRule="exact" w:line="600" w:before="0" w:after="0"/>
        <w:ind w:firstLine="420"/>
        <w:jc w:val="both"/>
      </w:pPr>
      <w:r>
        <w:rPr>
          <w:rFonts w:ascii="仿宋_GB2312" w:hAnsi="仿宋_GB2312" w:eastAsia="仿宋_GB2312"/>
          <w:b w:val="0"/>
          <w:color w:val="000000"/>
          <w:sz w:val="32"/>
        </w:rPr>
        <w:t>流体输送产品需求与房地产、基建、市政投资高度相关，存在宏观周期波动风险；海外收入仍占相当比重，受贸易摩擦、汇率与地缘政治影响。</w:t>
      </w:r>
    </w:p>
    <w:p>
      <w:pPr>
        <w:spacing w:lineRule="exact" w:line="600" w:before="120" w:after="120"/>
        <w:ind w:firstLine="420"/>
        <w:jc w:val="left"/>
      </w:pPr>
      <w:r>
        <w:rPr>
          <w:rFonts w:ascii="楷体_GB2312" w:hAnsi="楷体_GB2312" w:eastAsia="楷体_GB2312"/>
          <w:b w:val="0"/>
          <w:color w:val="000000"/>
          <w:sz w:val="32"/>
        </w:rPr>
        <w:t>（二）经营与供应链风险</w:t>
      </w:r>
    </w:p>
    <w:p>
      <w:pPr>
        <w:spacing w:lineRule="exact" w:line="600" w:before="0" w:after="0"/>
        <w:ind w:firstLine="420"/>
        <w:jc w:val="both"/>
      </w:pPr>
      <w:r>
        <w:rPr>
          <w:rFonts w:ascii="仿宋_GB2312" w:hAnsi="仿宋_GB2312" w:eastAsia="仿宋_GB2312"/>
          <w:b w:val="0"/>
          <w:color w:val="000000"/>
          <w:sz w:val="32"/>
        </w:rPr>
        <w:t>原材料（生铁、钢材、合金）价格波动影响毛利；全球多基地产能管理复杂，跨文化运营存在整合风险。</w:t>
      </w:r>
    </w:p>
    <w:p>
      <w:pPr>
        <w:spacing w:lineRule="exact" w:line="600" w:before="120" w:after="120"/>
        <w:ind w:firstLine="420"/>
        <w:jc w:val="left"/>
      </w:pPr>
      <w:r>
        <w:rPr>
          <w:rFonts w:ascii="楷体_GB2312" w:hAnsi="楷体_GB2312" w:eastAsia="楷体_GB2312"/>
          <w:b w:val="0"/>
          <w:color w:val="000000"/>
          <w:sz w:val="32"/>
        </w:rPr>
        <w:t>（三）财务与合规风险</w:t>
      </w:r>
    </w:p>
    <w:p>
      <w:pPr>
        <w:spacing w:lineRule="exact" w:line="600" w:before="0" w:after="0"/>
        <w:ind w:firstLine="420"/>
        <w:jc w:val="both"/>
      </w:pPr>
      <w:r>
        <w:rPr>
          <w:rFonts w:ascii="仿宋_GB2312" w:hAnsi="仿宋_GB2312" w:eastAsia="仿宋_GB2312"/>
          <w:b w:val="0"/>
          <w:color w:val="000000"/>
          <w:sz w:val="32"/>
        </w:rPr>
        <w:t>集团非上市、合并财务未公开，外部投资人信息不对称；海外资产与并购带来合规与税务复杂度；环保、安全生产要求趋严，铸造属重点监管领域。</w:t>
      </w:r>
    </w:p>
    <w:p>
      <w:pPr>
        <w:spacing w:lineRule="exact" w:line="600" w:before="120" w:after="120"/>
        <w:ind w:firstLine="420"/>
        <w:jc w:val="left"/>
      </w:pPr>
      <w:r>
        <w:rPr>
          <w:rFonts w:ascii="楷体_GB2312" w:hAnsi="楷体_GB2312" w:eastAsia="楷体_GB2312"/>
          <w:b w:val="0"/>
          <w:color w:val="000000"/>
          <w:sz w:val="32"/>
        </w:rPr>
        <w:t>（四）管理风险</w:t>
      </w:r>
    </w:p>
    <w:p>
      <w:pPr>
        <w:spacing w:lineRule="exact" w:line="600" w:before="0" w:after="0"/>
        <w:ind w:firstLine="420"/>
        <w:jc w:val="both"/>
      </w:pPr>
      <w:r>
        <w:rPr>
          <w:rFonts w:ascii="仿宋_GB2312" w:hAnsi="仿宋_GB2312" w:eastAsia="仿宋_GB2312"/>
          <w:b w:val="0"/>
          <w:color w:val="000000"/>
          <w:sz w:val="32"/>
        </w:rPr>
        <w:t>千亿战略下快速扩张，对全球经营管理半径与人才提出更高要求；家族企业传承与职业化治理需持续平衡。</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120" w:after="120"/>
        <w:ind w:firstLine="420"/>
        <w:jc w:val="left"/>
      </w:pPr>
      <w:r>
        <w:rPr>
          <w:rFonts w:ascii="楷体_GB2312" w:hAnsi="楷体_GB2312" w:eastAsia="楷体_GB2312"/>
          <w:b w:val="0"/>
          <w:color w:val="000000"/>
          <w:sz w:val="32"/>
        </w:rPr>
        <w:t>（一）供应链金融</w:t>
      </w:r>
    </w:p>
    <w:p>
      <w:pPr>
        <w:spacing w:lineRule="exact" w:line="600" w:before="0" w:after="0"/>
        <w:ind w:firstLine="420"/>
        <w:jc w:val="both"/>
      </w:pPr>
      <w:r>
        <w:rPr>
          <w:rFonts w:ascii="仿宋_GB2312" w:hAnsi="仿宋_GB2312" w:eastAsia="仿宋_GB2312"/>
          <w:b w:val="0"/>
          <w:color w:val="000000"/>
          <w:sz w:val="32"/>
        </w:rPr>
        <w:t>集团上游供应商众多、下游大客户账期长，可开展应收账款保理与反向供应链金融，盘活万亿级产业链资金流，稳定配套企业。</w:t>
      </w:r>
    </w:p>
    <w:p>
      <w:pPr>
        <w:spacing w:lineRule="exact" w:line="600" w:before="120" w:after="120"/>
        <w:ind w:firstLine="420"/>
        <w:jc w:val="left"/>
      </w:pPr>
      <w:r>
        <w:rPr>
          <w:rFonts w:ascii="楷体_GB2312" w:hAnsi="楷体_GB2312" w:eastAsia="楷体_GB2312"/>
          <w:b w:val="0"/>
          <w:color w:val="000000"/>
          <w:sz w:val="32"/>
        </w:rPr>
        <w:t>（二）融资租赁</w:t>
      </w:r>
    </w:p>
    <w:p>
      <w:pPr>
        <w:spacing w:lineRule="exact" w:line="600" w:before="0" w:after="0"/>
        <w:ind w:firstLine="420"/>
        <w:jc w:val="both"/>
      </w:pPr>
      <w:r>
        <w:rPr>
          <w:rFonts w:ascii="仿宋_GB2312" w:hAnsi="仿宋_GB2312" w:eastAsia="仿宋_GB2312"/>
          <w:b w:val="0"/>
          <w:color w:val="000000"/>
          <w:sz w:val="32"/>
        </w:rPr>
        <w:t>集团持续进行智能产线升级与海外基地投入，可通过设备融资租赁分摊资本开支、优化负债结构。</w:t>
      </w:r>
    </w:p>
    <w:p>
      <w:pPr>
        <w:spacing w:lineRule="exact" w:line="600" w:before="120" w:after="120"/>
        <w:ind w:firstLine="420"/>
        <w:jc w:val="left"/>
      </w:pPr>
      <w:r>
        <w:rPr>
          <w:rFonts w:ascii="楷体_GB2312" w:hAnsi="楷体_GB2312" w:eastAsia="楷体_GB2312"/>
          <w:b w:val="0"/>
          <w:color w:val="000000"/>
          <w:sz w:val="32"/>
        </w:rPr>
        <w:t>（三）并购与产业基金</w:t>
      </w:r>
    </w:p>
    <w:p>
      <w:pPr>
        <w:spacing w:lineRule="exact" w:line="600" w:before="0" w:after="0"/>
        <w:ind w:firstLine="420"/>
        <w:jc w:val="both"/>
      </w:pPr>
      <w:r>
        <w:rPr>
          <w:rFonts w:ascii="仿宋_GB2312" w:hAnsi="仿宋_GB2312" w:eastAsia="仿宋_GB2312"/>
          <w:b w:val="0"/>
          <w:color w:val="000000"/>
          <w:sz w:val="32"/>
        </w:rPr>
        <w:t>围绕"千亿征程"与全球化并购战略，山东投资可探讨通过产业基金、并购贷款等参与其国内外并购与产能扩张，服务山东装备出海。</w:t>
      </w:r>
    </w:p>
    <w:p>
      <w:pPr>
        <w:spacing w:lineRule="exact" w:line="600" w:before="120" w:after="120"/>
        <w:ind w:firstLine="420"/>
        <w:jc w:val="left"/>
      </w:pPr>
      <w:r>
        <w:rPr>
          <w:rFonts w:ascii="楷体_GB2312" w:hAnsi="楷体_GB2312" w:eastAsia="楷体_GB2312"/>
          <w:b w:val="0"/>
          <w:color w:val="000000"/>
          <w:sz w:val="32"/>
        </w:rPr>
        <w:t>（四）综合建议</w:t>
      </w:r>
    </w:p>
    <w:p>
      <w:pPr>
        <w:spacing w:lineRule="exact" w:line="600" w:before="0" w:after="0"/>
        <w:ind w:firstLine="420"/>
        <w:jc w:val="both"/>
      </w:pPr>
      <w:r>
        <w:rPr>
          <w:rFonts w:ascii="仿宋_GB2312" w:hAnsi="仿宋_GB2312" w:eastAsia="仿宋_GB2312"/>
          <w:b w:val="0"/>
          <w:color w:val="000000"/>
          <w:sz w:val="32"/>
        </w:rPr>
        <w:t>建议以供应链金融与融资租赁为切入点，在集团财务透明化基础上探讨股权/可转债合作，将其作为服务平阴高端装备、支持民企全球化的旗舰标的。</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120" w:after="120"/>
        <w:ind w:firstLine="420"/>
        <w:jc w:val="left"/>
      </w:pPr>
      <w:r>
        <w:rPr>
          <w:rFonts w:ascii="楷体_GB2312" w:hAnsi="楷体_GB2312" w:eastAsia="楷体_GB2312"/>
          <w:b w:val="0"/>
          <w:color w:val="000000"/>
          <w:sz w:val="32"/>
        </w:rPr>
        <w:t>（一）综合小结</w:t>
      </w:r>
    </w:p>
    <w:p>
      <w:pPr>
        <w:spacing w:lineRule="exact" w:line="600" w:before="0" w:after="0"/>
        <w:ind w:firstLine="420"/>
        <w:jc w:val="both"/>
      </w:pPr>
      <w:r>
        <w:rPr>
          <w:rFonts w:ascii="仿宋_GB2312" w:hAnsi="仿宋_GB2312" w:eastAsia="仿宋_GB2312"/>
          <w:b w:val="0"/>
          <w:color w:val="000000"/>
          <w:sz w:val="32"/>
        </w:rPr>
        <w:t>玫德集团是平阴县乃至山东省民营制造的标杆，全球流体输送产品龙头，规模、技术、品牌、数字化能力突出，千亿战略清晰，党建与社会责任履行扎实，是高端装备结构件领域的世界级企业。</w:t>
      </w:r>
    </w:p>
    <w:p>
      <w:pPr>
        <w:spacing w:lineRule="exact" w:line="600" w:before="120" w:after="120"/>
        <w:ind w:firstLine="420"/>
        <w:jc w:val="left"/>
      </w:pPr>
      <w:r>
        <w:rPr>
          <w:rFonts w:ascii="楷体_GB2312" w:hAnsi="楷体_GB2312" w:eastAsia="楷体_GB2312"/>
          <w:b w:val="0"/>
          <w:color w:val="000000"/>
          <w:sz w:val="32"/>
        </w:rPr>
        <w:t>（二）发展展望</w:t>
      </w:r>
    </w:p>
    <w:p>
      <w:pPr>
        <w:spacing w:lineRule="exact" w:line="600" w:before="0" w:after="0"/>
        <w:ind w:firstLine="420"/>
        <w:jc w:val="both"/>
      </w:pPr>
      <w:r>
        <w:rPr>
          <w:rFonts w:ascii="仿宋_GB2312" w:hAnsi="仿宋_GB2312" w:eastAsia="仿宋_GB2312"/>
          <w:b w:val="0"/>
          <w:color w:val="000000"/>
          <w:sz w:val="32"/>
        </w:rPr>
        <w:t>集团明确"百年玫德、千亿征程"目标，推进智能制造深入与AI研究、智能流体输送技术创新中心建设，并持续海外并购，成长路径明确。</w:t>
      </w:r>
    </w:p>
    <w:p>
      <w:pPr>
        <w:spacing w:lineRule="exact" w:line="600" w:before="120" w:after="120"/>
        <w:ind w:firstLine="420"/>
        <w:jc w:val="left"/>
      </w:pPr>
      <w:r>
        <w:rPr>
          <w:rFonts w:ascii="楷体_GB2312" w:hAnsi="楷体_GB2312" w:eastAsia="楷体_GB2312"/>
          <w:b w:val="0"/>
          <w:color w:val="000000"/>
          <w:sz w:val="32"/>
        </w:rPr>
        <w:t>（三）挑战</w:t>
      </w:r>
    </w:p>
    <w:p>
      <w:pPr>
        <w:spacing w:lineRule="exact" w:line="600" w:before="0" w:after="0"/>
        <w:ind w:firstLine="420"/>
        <w:jc w:val="both"/>
      </w:pPr>
      <w:r>
        <w:rPr>
          <w:rFonts w:ascii="仿宋_GB2312" w:hAnsi="仿宋_GB2312" w:eastAsia="仿宋_GB2312"/>
          <w:b w:val="0"/>
          <w:color w:val="000000"/>
          <w:sz w:val="32"/>
        </w:rPr>
        <w:t>挑战在于宏观周期、海外合规与汇率、财务透明度不足以及快速扩张的管理压力。</w:t>
      </w:r>
    </w:p>
    <w:p>
      <w:pPr>
        <w:spacing w:lineRule="exact" w:line="600" w:before="120" w:after="120"/>
        <w:ind w:firstLine="420"/>
        <w:jc w:val="left"/>
      </w:pPr>
      <w:r>
        <w:rPr>
          <w:rFonts w:ascii="楷体_GB2312" w:hAnsi="楷体_GB2312" w:eastAsia="楷体_GB2312"/>
          <w:b w:val="0"/>
          <w:color w:val="000000"/>
          <w:sz w:val="32"/>
        </w:rPr>
        <w:t>（四）结论与建议</w:t>
      </w:r>
    </w:p>
    <w:p>
      <w:pPr>
        <w:spacing w:lineRule="exact" w:line="600" w:before="0" w:after="0"/>
        <w:ind w:firstLine="420"/>
        <w:jc w:val="both"/>
      </w:pPr>
      <w:r>
        <w:rPr>
          <w:rFonts w:ascii="仿宋_GB2312" w:hAnsi="仿宋_GB2312" w:eastAsia="仿宋_GB2312"/>
          <w:b w:val="0"/>
          <w:color w:val="000000"/>
          <w:sz w:val="32"/>
        </w:rPr>
        <w:t>建议山东投资以供应链金融、融资租赁及产业基金多维切入，在获取合并财务数据、验证真实性的基础上探讨深度合作，将玫德作为服务平阴高端装备结构件智能制造集群的核心抓手与标杆投资标的。</w:t>
      </w:r>
    </w:p>
    <w:p>
      <w:pPr>
        <w:spacing w:lineRule="exact" w:line="600" w:before="120" w:after="120"/>
        <w:ind w:firstLine="420"/>
        <w:jc w:val="left"/>
      </w:pPr>
      <w:r>
        <w:rPr>
          <w:rFonts w:ascii="楷体_GB2312" w:hAnsi="楷体_GB2312" w:eastAsia="楷体_GB2312"/>
          <w:b w:val="0"/>
          <w:color w:val="000000"/>
          <w:sz w:val="32"/>
        </w:rPr>
        <w:t>数据来源说明</w:t>
      </w:r>
    </w:p>
    <w:p>
      <w:pPr>
        <w:spacing w:lineRule="exact" w:line="600" w:before="0" w:after="0"/>
        <w:jc w:val="left"/>
      </w:pPr>
      <w:r>
        <w:rPr>
          <w:rFonts w:ascii="仿宋_GB2312" w:hAnsi="仿宋_GB2312" w:eastAsia="仿宋_GB2312"/>
          <w:b w:val="0"/>
          <w:color w:val="000000"/>
          <w:sz w:val="28"/>
        </w:rPr>
        <w:t>本报告数据来源于：1）玫德集团官网（集团介绍、发展历程、全球营收等）；2）大众网/齐鲁晚报《让"济南造"管件走遍全球 玫德集团的数字化转型"求索路"》（2023-08）；3）大众网《智造60年、畅销130国 玫德集团：创新赋能跑出智造"加速度"》；4）舜网/新黄河《玫德集团：从卖产品到卖方案，为客户提升效率40%》；5）玫德集团60周年峰会报道（2021-07）；6）山东民企社会责任记者见面会报道（2025）。财务数据为集团官网披露的经营参考值，非经审计，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