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庆云县纳米高分子材料特色产业集群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山东华薪纳米科技有限公司企业分析报告</w:t>
      </w:r>
    </w:p>
    <w:p>
      <w:pPr>
        <w:spacing w:lineRule="exact" w:line="600" w:before="0" w:after="0"/>
        <w:jc w:val="left"/>
      </w:pPr>
      <w:r>
        <w:rPr>
          <w:rFonts w:ascii="仿宋_GB2312" w:hAnsi="仿宋_GB2312" w:eastAsia="仿宋_GB2312"/>
          <w:b w:val="0"/>
          <w:color w:val="000000"/>
          <w:sz w:val="28"/>
        </w:rPr>
        <w:t>（本报告数据来源于公司年报/工商登记信息、天眼查/爱企查/企查查/启信宝等工商信息平台、企业官网、地方政府门户网站及权威媒体（齐鲁网·闪电新闻、德州日报、大众日报/齐鲁壹点、聊城市政府门户网站、冠县政府门户网站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华薪纳米科技有限公司成立于2018年11月23日（企业官网披露其前身可追溯至2000年以渔网产品起步的"华新塑料制品厂"，2013年转型升级为"庆云县华新塑料母粒有限公司"，2024年更名为山东华薪纳米科技有限公司），法定代表人杨方建，统一社会信用代码91371423MA3NMAR108，企业类型为有限责任公司（自然人独资），注册资本1,198万元人民币（实缴资本5万元），注册地址位于山东省德州市庆云县徐园子乡政府东庆徐路南002号，登记机关为庆云县市场监督管理局，经营状态为存续（开业），为增值税一般纳税人。所属行业为科技推广和应用服务业（新材料技术推广服务）。</w:t>
      </w:r>
    </w:p>
    <w:p>
      <w:pPr>
        <w:spacing w:lineRule="exact" w:line="600" w:before="0" w:after="0"/>
        <w:ind w:firstLine="420"/>
        <w:jc w:val="both"/>
      </w:pPr>
      <w:r>
        <w:rPr>
          <w:rFonts w:ascii="仿宋_GB2312" w:hAnsi="仿宋_GB2312" w:eastAsia="仿宋_GB2312"/>
          <w:b w:val="0"/>
          <w:color w:val="000000"/>
          <w:sz w:val="32"/>
        </w:rPr>
        <w:t>股权结构：公司为自然人独资企业，股东（实际控制人）为杨方建，持股100%，无国有出资人，属民营控股企业。</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单体民营科技企业，下设研发、生产、销售单元，经营范围涵盖新材料技术研发与推广、塑料制品制造与销售、工程塑料及合成树脂制造与销售、货物及技术进出口等。据工商信息，2025年孵化"山东进展塑料科技有限公司"（专注尼龙改性材料），体现业务延伸布局；对外投资与分支机构有限，组织层级较为扁平。</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企业源于2000年渔网作坊，2013年转型进军塑料母粒领域（庆云县华新塑料母粒有限公司），开启高分子产业奠基；2018年3月注册自主品牌商标"博蓝克"，2020年被评为"AAA级信用企业"，2022年被认定为国家高新技术企业、省专精特新企业，2024年获"全县突出贡献民营企业"称号，同年正式更名为山东华薪纳米科技有限公司并聚焦纳米科技赋能材料；2024年与南开大学开展校企联合研发，建立高端色母实验室；2025年孵化山东进展塑料科技，同年新增工业用地并启动年产10,000吨塑料母粒生产加工项目，获国家级科技型中小企业认定。</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以纳米科技赋能材料、迈向高端智造的高新技术企业、庆云县纳米高分子材料（色母粒）特色产业集群骨干企业。主营业务为消泡母粒、黑色母粒、填充母粒、彩色母粒、降解母粒、塑料改性颗粒、管材及塑料颗粒聚乙烯蜡等高分子材料的研发、制造与销售，并经营货物技术进出口；2025年孵化尼龙改性材料业务，引领低碳环保与高性能趋势。</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塑料母粒为核心，产品涵盖消泡母粒、黑色母粒、填充母粒、彩色母粒、降解母粒、塑料改性颗粒、管材及聚乙烯蜡等，并向尼龙改性材料延伸；内销与出口并重。公司未公开披露分产品收入占比，但中国塑料橡胶展披露其年销售收入在5,000万元以上。</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消泡母粒（塑料干燥剂/除潮母料）、黑色母粒、填充母粒、彩色母粒、降解母粒、塑料改性颗粒、管材、塑料颗粒聚乙烯蜡等；并提供颜色调配、功能化（抗菌、防老化、抗氧化）定制。公司生产线实现自动化、智能化，产品应用于建材、包装、汽车、食品饮料包装、玩具、橡胶制品、运动休闲等领域。</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产品销往国内及欧洲、亚洲、非洲等出口市场；官网披露出口目标市场为欧洲、亚洲、非洲。据企业披露，截至2024年出口外贸达到3,000吨以上，客户覆盖注塑、包装、建材等制造企业通过国内外渠道对接。</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生产所需主要原料为基础树脂、炭黑、矿物填料及助剂，价格随石化与大宗商品价格波动；地处徐园子乡新材料产业园，可就近获取上游聚乙烯蜡、氧化钙粉等原料，具备集群协同优势。</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据工商与公开信息：公司2025年新增工业用地、获建设用地与建设工程规划许可，启动年产10,000吨塑料母粒生产加工项目；生产线全部实现自动化、智能化。资质方面，公司为2022年国家高新技术企业、省专精特新企业、2025年国家级科技型中小企业、AAA级信用企业（2020）；拥有"博蓝克"等商标（2018注册、2025受让），2项发明专利及31项关于生产工艺和设备改进的专利，研发实力在集群内居前。持有进出口经营资质。</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以直销+出口为主，依托官网（qyhuaxin.com）及国内外展会（如中国塑料橡胶工业展）对接客户；出口覆盖欧洲、亚洲、非洲，并以"博蓝克"自主品牌提升辨识度。</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据中国塑料橡胶展公开信息，公司年销售收入在5,000万元以上；企业披露2024年出口外贸达3,000吨以上；2025年新增工业用地并启动年产1万吨塑料母粒项目。庆云徐园子乡色母粒产量约占全国十分之一，华薪纳米为集群内高新技术企业骨干。注：公司为非上市企业，近三年完整财务数据未公开披露，上述为公开披露口径。</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山东华薪纳米为非上市民营企业，近三年财务报表未公开披露，以下仅列公开工商与经营信息，不作财务数据编造。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1,198万元（实缴5万元）</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2018-11-23（前身2000年）</w:t>
            </w:r>
          </w:p>
        </w:tc>
      </w:tr>
      <w:tr>
        <w:tc>
          <w:tcPr>
            <w:tcW w:type="dxa" w:w="2551"/>
          </w:tcPr>
          <w:p>
            <w:pPr>
              <w:spacing w:lineRule="exact" w:line="600"/>
              <w:jc w:val="center"/>
            </w:pPr>
            <w:r/>
            <w:r>
              <w:rPr>
                <w:rFonts w:ascii="仿宋_GB2312" w:hAnsi="仿宋_GB2312" w:eastAsia="仿宋_GB2312"/>
                <w:b w:val="0"/>
                <w:color w:val="000000"/>
                <w:sz w:val="32"/>
              </w:rPr>
              <w:t>企业类型</w:t>
            </w:r>
          </w:p>
        </w:tc>
        <w:tc>
          <w:tcPr>
            <w:tcW w:type="dxa" w:w="6236"/>
          </w:tcPr>
          <w:p>
            <w:pPr>
              <w:spacing w:lineRule="exact" w:line="600"/>
              <w:jc w:val="center"/>
            </w:pPr>
            <w:r/>
            <w:r>
              <w:rPr>
                <w:rFonts w:ascii="仿宋_GB2312" w:hAnsi="仿宋_GB2312" w:eastAsia="仿宋_GB2312"/>
                <w:b w:val="0"/>
                <w:color w:val="000000"/>
                <w:sz w:val="32"/>
              </w:rPr>
              <w:t>有限责任公司（自然人独资）</w:t>
            </w:r>
          </w:p>
        </w:tc>
      </w:tr>
      <w:tr>
        <w:tc>
          <w:tcPr>
            <w:tcW w:type="dxa" w:w="2551"/>
          </w:tcPr>
          <w:p>
            <w:pPr>
              <w:spacing w:lineRule="exact" w:line="600"/>
              <w:jc w:val="center"/>
            </w:pPr>
            <w:r/>
            <w:r>
              <w:rPr>
                <w:rFonts w:ascii="仿宋_GB2312" w:hAnsi="仿宋_GB2312" w:eastAsia="仿宋_GB2312"/>
                <w:b w:val="0"/>
                <w:color w:val="000000"/>
                <w:sz w:val="32"/>
              </w:rPr>
              <w:t>年销售收入</w:t>
            </w:r>
          </w:p>
        </w:tc>
        <w:tc>
          <w:tcPr>
            <w:tcW w:type="dxa" w:w="6236"/>
          </w:tcPr>
          <w:p>
            <w:pPr>
              <w:spacing w:lineRule="exact" w:line="600"/>
              <w:jc w:val="center"/>
            </w:pPr>
            <w:r/>
            <w:r>
              <w:rPr>
                <w:rFonts w:ascii="仿宋_GB2312" w:hAnsi="仿宋_GB2312" w:eastAsia="仿宋_GB2312"/>
                <w:b w:val="0"/>
                <w:color w:val="000000"/>
                <w:sz w:val="32"/>
              </w:rPr>
              <w:t>5,000万元以上（公开披露）</w:t>
            </w:r>
          </w:p>
        </w:tc>
      </w:tr>
      <w:tr>
        <w:tc>
          <w:tcPr>
            <w:tcW w:type="dxa" w:w="2551"/>
          </w:tcPr>
          <w:p>
            <w:pPr>
              <w:spacing w:lineRule="exact" w:line="600"/>
              <w:jc w:val="center"/>
            </w:pPr>
            <w:r/>
            <w:r>
              <w:rPr>
                <w:rFonts w:ascii="仿宋_GB2312" w:hAnsi="仿宋_GB2312" w:eastAsia="仿宋_GB2312"/>
                <w:b w:val="0"/>
                <w:color w:val="000000"/>
                <w:sz w:val="32"/>
              </w:rPr>
              <w:t>2024年出口</w:t>
            </w:r>
          </w:p>
        </w:tc>
        <w:tc>
          <w:tcPr>
            <w:tcW w:type="dxa" w:w="6236"/>
          </w:tcPr>
          <w:p>
            <w:pPr>
              <w:spacing w:lineRule="exact" w:line="600"/>
              <w:jc w:val="center"/>
            </w:pPr>
            <w:r/>
            <w:r>
              <w:rPr>
                <w:rFonts w:ascii="仿宋_GB2312" w:hAnsi="仿宋_GB2312" w:eastAsia="仿宋_GB2312"/>
                <w:b w:val="0"/>
                <w:color w:val="000000"/>
                <w:sz w:val="32"/>
              </w:rPr>
              <w:t>3,000吨以上</w:t>
            </w:r>
          </w:p>
        </w:tc>
      </w:tr>
      <w:tr>
        <w:tc>
          <w:tcPr>
            <w:tcW w:type="dxa" w:w="2551"/>
          </w:tcPr>
          <w:p>
            <w:pPr>
              <w:spacing w:lineRule="exact" w:line="600"/>
              <w:jc w:val="center"/>
            </w:pPr>
            <w:r/>
            <w:r>
              <w:rPr>
                <w:rFonts w:ascii="仿宋_GB2312" w:hAnsi="仿宋_GB2312" w:eastAsia="仿宋_GB2312"/>
                <w:b w:val="0"/>
                <w:color w:val="000000"/>
                <w:sz w:val="32"/>
              </w:rPr>
              <w:t>项目</w:t>
            </w:r>
          </w:p>
        </w:tc>
        <w:tc>
          <w:tcPr>
            <w:tcW w:type="dxa" w:w="6236"/>
          </w:tcPr>
          <w:p>
            <w:pPr>
              <w:spacing w:lineRule="exact" w:line="600"/>
              <w:jc w:val="center"/>
            </w:pPr>
            <w:r/>
            <w:r>
              <w:rPr>
                <w:rFonts w:ascii="仿宋_GB2312" w:hAnsi="仿宋_GB2312" w:eastAsia="仿宋_GB2312"/>
                <w:b w:val="0"/>
                <w:color w:val="000000"/>
                <w:sz w:val="32"/>
              </w:rPr>
              <w:t>年产10,000吨塑料母粒生产加工项目（2025启动）</w:t>
            </w:r>
          </w:p>
        </w:tc>
      </w:tr>
      <w:tr>
        <w:tc>
          <w:tcPr>
            <w:tcW w:type="dxa" w:w="2551"/>
          </w:tcPr>
          <w:p>
            <w:pPr>
              <w:spacing w:lineRule="exact" w:line="600"/>
              <w:jc w:val="center"/>
            </w:pPr>
            <w:r/>
            <w:r>
              <w:rPr>
                <w:rFonts w:ascii="仿宋_GB2312" w:hAnsi="仿宋_GB2312" w:eastAsia="仿宋_GB2312"/>
                <w:b w:val="0"/>
                <w:color w:val="000000"/>
                <w:sz w:val="32"/>
              </w:rPr>
              <w:t>资质</w:t>
            </w:r>
          </w:p>
        </w:tc>
        <w:tc>
          <w:tcPr>
            <w:tcW w:type="dxa" w:w="6236"/>
          </w:tcPr>
          <w:p>
            <w:pPr>
              <w:spacing w:lineRule="exact" w:line="600"/>
              <w:jc w:val="center"/>
            </w:pPr>
            <w:r/>
            <w:r>
              <w:rPr>
                <w:rFonts w:ascii="仿宋_GB2312" w:hAnsi="仿宋_GB2312" w:eastAsia="仿宋_GB2312"/>
                <w:b w:val="0"/>
                <w:color w:val="000000"/>
                <w:sz w:val="32"/>
              </w:rPr>
              <w:t>国家高新技术企业、省专精特新、国家级科小</w:t>
            </w:r>
          </w:p>
        </w:tc>
      </w:tr>
      <w:tr>
        <w:tc>
          <w:tcPr>
            <w:tcW w:type="dxa" w:w="2551"/>
          </w:tcPr>
          <w:p>
            <w:pPr>
              <w:spacing w:lineRule="exact" w:line="600"/>
              <w:jc w:val="center"/>
            </w:pPr>
            <w:r/>
            <w:r>
              <w:rPr>
                <w:rFonts w:ascii="仿宋_GB2312" w:hAnsi="仿宋_GB2312" w:eastAsia="仿宋_GB2312"/>
                <w:b w:val="0"/>
                <w:color w:val="000000"/>
                <w:sz w:val="32"/>
              </w:rPr>
              <w:t>营收/利润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财务数据未公开披露。公司年销售收入5,000万元以上、出口3,000吨以上，作为高新技术企业产品具备一定溢价；但实缴资本仅5万元、处于产能扩张投入期，短期盈利或受资本开支影响。</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无公开资产数据。重研发与设备投入，固定资产（产线）与无形资产（专利、商标）为主；2025年新增工业用地将带来土地资产增加。</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无公开负债数据。公司处扩产投入期，资本开支与研发资金需求大，需关注融资结构与现金流平衡；实缴资本较低提示自有资本实力有限。</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无公开现金流数据。产能建设与研发需持续资金投入，关注经营性现金流转正节奏与回款周期。</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同集群诺森塑胶（年产6.2万吨、"小巨人"）、诺鑫塑胶（年产2万吨）相比，华薪纳米年销售5,000万元以上、出口3,000吨，规模居中，但研发（2发明+31专利、南开合作）与资质（高企、省专精特新）突出，具较好成长潜力。</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公司为自然人独资的有限责任公司，治理结构简易，由杨方建掌控经营决策；作为高新技术企业，建立了研发与质量管控体系，并与南开大学共建高端色母实验室。</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法定代表人杨方建，为企业实际控制人，主导公司战略与经营；管理层技术背景较强，推动与南开大学等高校的研发合作。</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通过高新技术企业认定并建有研发体系；作为塑料加工企业，需关注安全生产与环保合规。2025年先后取得建设用地、建设工程规划许可，合规手续推进规范。</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工商参保约23人（或0人口径差异），人员规模适中，以技术与生产为主；拥有2项发明专利及31项工艺设备专利，研发密度在集群内居前。</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技术与研发：国家高新技术企业、省专精特新，2项发明专利+31项专利，与南开大学共建高端色母实验室，研发实力突出。二是品牌与资质：自主品牌"博蓝克"、AAA级信用企业、国家级科小，资质背书强。三是产品矩阵：覆盖消泡/黑色/填充/彩色/降解母粒、改性颗粒、管材及聚乙烯蜡，并向尼龙改性延伸，产品谱系完整。四是出口基础：出口欧洲、亚洲、非洲，2024年出口3,000吨以上。五是集群与扩产：位于全国重要色母粒基地，2025年新项目（年产1万吨）打开成长空间。</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技术与量产风险：纳米材料与高端色母工艺难度较高，从新项目到达产、良率与成本控制存在不确定性。二是客户与出口风险：出口占比不低，受贸易、汇率与地缘影响。三是资金风险：实缴资本仅5万元、处扩产投入期，盈利尚未充分释放，现金流承压。四是原料价格风险：树脂、填料随行情波动。五是市场竞争风险：母粒行业同质化，须以技术与功能化维持优势。</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出口与内销应收账款可开展保理。供应链金融：围绕核心原料采购做订单融资。融资租赁：年产1万吨塑料母粒项目的设备（混炼、挤出、检测线）适合直租/回租，支撑产能释放。小贷：面向临时周转。作为高新技术、出口背书的高成长标的企业，建议以"设备融资租赁+出口应收保理"组合切入，并关注实缴资本偏低与量产进度。</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山东华薪纳米是庆云纳米高分子材料集群中研发与资质突出的高新技术企业，品牌（博蓝克）、出口与扩产基础良好，但实缴资本低、处投入期、财务不透明。发展展望：据行业趋势与公司规划，随着年产1万吨塑料母粒项目投产及尼龙改性业务孵化，公司将向高端智造与低碳环保材料升级，成长空间明确。建议：一是对接产线设备融资租赁与出口应收保理；二是要求补充规范财务资料并以增信控制风险；三是跟踪量产良率与新项目进度；四是借力集群协同联动诺森、诺鑫共同开发。</w:t>
      </w:r>
    </w:p>
    <w:p>
      <w:pPr>
        <w:spacing w:lineRule="exact" w:line="600" w:before="0" w:after="0"/>
        <w:jc w:val="left"/>
      </w:pPr>
      <w:r>
        <w:rPr>
          <w:rFonts w:ascii="仿宋_GB2312" w:hAnsi="仿宋_GB2312" w:eastAsia="仿宋_GB2312"/>
          <w:b w:val="0"/>
          <w:color w:val="000000"/>
          <w:sz w:val="28"/>
        </w:rPr>
        <w:t>数据来源说明：天眼查/爱企查/企查查（工商、股权、资质、专利、行政许可）、企业官网qyhuaxin.com（发展沿革、产品、出口、研发）、中国塑料橡胶展（年销售5,000万+、出口市场）、庆云县相关报道（集群地位、新项目）。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