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庆云县纳米高分子材料特色产业集群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庆云诺鑫塑胶新材料有限公司企业分析报告</w:t>
      </w:r>
    </w:p>
    <w:p>
      <w:pPr>
        <w:spacing w:lineRule="exact" w:line="600" w:before="0" w:after="0"/>
        <w:jc w:val="left"/>
      </w:pPr>
      <w:r>
        <w:rPr>
          <w:rFonts w:ascii="仿宋_GB2312" w:hAnsi="仿宋_GB2312" w:eastAsia="仿宋_GB2312"/>
          <w:b w:val="0"/>
          <w:color w:val="000000"/>
          <w:sz w:val="28"/>
        </w:rPr>
        <w:t>（本报告数据来源于公司年报/工商登记信息、天眼查/爱企查/企查查/启信宝等工商信息平台、企业官网、地方政府门户网站及权威媒体（齐鲁网·闪电新闻、德州日报、大众日报/齐鲁壹点、聊城市政府门户网站、冠县政府门户网站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庆云诺鑫塑胶新材料有限公司成立于2016年1月18日，法定代表人阎克林，统一社会信用代码91371423MA3C5M2DXM，企业类型为有限责任公司（自然人独资），注册资本318万元人民币（实缴318万元），注册地址位于山东省德州市庆云县经济开发区东岳大街与昆仑东路十字路口北路西（经营场所：庆云县徐园子乡东开发区路北），登记机关为庆云县市场监督管理局，经营状态为存续（开业），营业期限自2016年1月18日至无固定期限，核准日期2023年12月1日。公司所属行业为橡胶和塑料制品业，为增值税一般纳税人，2024年税务信用A级，属小微企业。</w:t>
      </w:r>
    </w:p>
    <w:p>
      <w:pPr>
        <w:spacing w:lineRule="exact" w:line="600" w:before="0" w:after="0"/>
        <w:ind w:firstLine="420"/>
        <w:jc w:val="both"/>
      </w:pPr>
      <w:r>
        <w:rPr>
          <w:rFonts w:ascii="仿宋_GB2312" w:hAnsi="仿宋_GB2312" w:eastAsia="仿宋_GB2312"/>
          <w:b w:val="0"/>
          <w:color w:val="000000"/>
          <w:sz w:val="32"/>
        </w:rPr>
        <w:t>股权结构：公司为自然人独资企业，股东（实际控制人）为阎克林，持股100%，无国有出资人，属民营控股小微企业。阎克林兼任执行董事兼总经理，王秀芹任监事。</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单体民营制造企业，下设研发、生产、销售与检测单元，经营范围涵盖降解母料、纳米母料、消泡母粒、填充母粒、色母粒、塑料制品、包装袋、碳酸钙、氧化钙、沉淀硫酸钡、重晶石粉、聚乙烯蜡等生产加工销售及货物技术进出口。据工商信息，公司对外投资5家企业，包括山东诺鑫高分子材料有限公司（持股49%，注册资本1,200万元）、诺鑫新材料（山东）有限公司（持股50%，注册资本300万元）等，形成一定投资布局。</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2016年1月注册成立，长期深耕填充母料、色母料、消泡母粒等塑胶新材料领域，逐步由传统母粒加工向"纳米硫酸钡多功能填充母料"等差异化产品升级；先后获评高新技术企业、省级创新型企业，2024年获税务信用A级；并与山东诺森塑胶等同行联合高校攻关"高耐候型环保PVC色母粒制备"等关键技术，相关功能性色母粒填补国内空白、远销"一带一路"市场。</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专业生产纳米硫酸钡多功能填充母料、消泡母粒、色母料、碳酸钙母料等塑胶新材料的高新技术企业，庆云县纳米高分子材料集群支撑企业。主营业务为降解母料、纳米母料、消泡母粒、填充母粒、色母粒、塑料制品、包装袋及碳酸钙、氧化钙、沉淀硫酸钡、重晶石粉、聚乙烯蜡等产品的生产、加工与销售，并经营货物技术进出口。</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塑胶母粒/母料为核心，形成"纳米硫酸钡填充母料、消泡母料、填充母料、透明填充母料、碳酸钙母料、滑石粉母料、色母料"等六大类产品体系，并向降解母料拓展；收入以母料销售为主，出口为辅。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纳米硫酸钡多功能填充母料（主推）、消泡母粒（黑/灰/白）、碳酸钙/滑石粉/透明填充母料、色母料、降解母料，以及塑料封条、聚乙烯颗粒、硬脂酸锌/钙等；产品应用于超市袋、包装袋、无纺布、编织袋、PE电缆护套、管材、工具箱、餐具、农膜、家电部件、卫材底膜等广泛场景。</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市场覆盖国内塑料加工企业，并聚焦西班牙等欧洲市场出口；与山东诺森塑胶形成"诺森深耕美洲、诺鑫聚焦欧洲"的协同出海格局。下游客户涵盖包装、无纺布、管材、注塑等制造企业。</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基础树脂、碳酸钙/硫酸钡等矿物填料、聚乙烯蜡、硬脂酸盐等，价格随石化与矿产品价格波动；地处徐园子乡新材料产业园，可就近获取上游聚乙烯蜡、氧化钙粉等原料，具备集群协同优势。</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据公司官网披露，拥有全自动规范化生产线10条，专职检测人员2名、市场调研及产品研发人员12名，现年产量20,000吨；具备业界专业检测设备多台，建立完善质量管理体系。资质方面，公司为高新技术企业、省级创新型企业，2024年税务信用A级；拥有43项知识产权、2个注册商标（"诺鑫""NX"）。持有进出口经营资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以直销与经销商并重，依托官网（sdqynxsj.com）展示产品与应用、对接客户；通过自营进出口拓展欧洲等海外市场，并以"质量为本、服务为本、诚信为本"方针维护客户。</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小微企业，财务数据未公开披露，无公开营收、利润及市占率数据。据官网披露年产量20,000吨、10条生产线，结合高新技术企业资质与出口欧洲市场，公司在庆云色母粒集群中处于中等规模、产品差异化定位明确的支撑企业，与诺森塑胶形成协同。</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庆云诺鑫塑胶新材料为非上市小微企业，近三年财务报表未公开披露，以下仅列公开工商与产能信息，不作财务数据编造。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318万元（实缴318万元）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2016-01-18</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有限责任公司（自然人独资）</w:t>
            </w:r>
          </w:p>
        </w:tc>
      </w:tr>
      <w:tr>
        <w:tc>
          <w:tcPr>
            <w:tcW w:type="dxa" w:w="2551"/>
          </w:tcPr>
          <w:p>
            <w:pPr>
              <w:spacing w:lineRule="exact" w:line="600"/>
              <w:jc w:val="center"/>
            </w:pPr>
            <w:r/>
            <w:r>
              <w:rPr>
                <w:rFonts w:ascii="仿宋_GB2312" w:hAnsi="仿宋_GB2312" w:eastAsia="仿宋_GB2312"/>
                <w:b w:val="0"/>
                <w:color w:val="000000"/>
                <w:sz w:val="32"/>
              </w:rPr>
              <w:t>年产量</w:t>
            </w:r>
          </w:p>
        </w:tc>
        <w:tc>
          <w:tcPr>
            <w:tcW w:type="dxa" w:w="6236"/>
          </w:tcPr>
          <w:p>
            <w:pPr>
              <w:spacing w:lineRule="exact" w:line="600"/>
              <w:jc w:val="center"/>
            </w:pPr>
            <w:r/>
            <w:r>
              <w:rPr>
                <w:rFonts w:ascii="仿宋_GB2312" w:hAnsi="仿宋_GB2312" w:eastAsia="仿宋_GB2312"/>
                <w:b w:val="0"/>
                <w:color w:val="000000"/>
                <w:sz w:val="32"/>
              </w:rPr>
              <w:t>约20,000吨</w:t>
            </w:r>
          </w:p>
        </w:tc>
      </w:tr>
      <w:tr>
        <w:tc>
          <w:tcPr>
            <w:tcW w:type="dxa" w:w="2551"/>
          </w:tcPr>
          <w:p>
            <w:pPr>
              <w:spacing w:lineRule="exact" w:line="600"/>
              <w:jc w:val="center"/>
            </w:pPr>
            <w:r/>
            <w:r>
              <w:rPr>
                <w:rFonts w:ascii="仿宋_GB2312" w:hAnsi="仿宋_GB2312" w:eastAsia="仿宋_GB2312"/>
                <w:b w:val="0"/>
                <w:color w:val="000000"/>
                <w:sz w:val="32"/>
              </w:rPr>
              <w:t>生产线</w:t>
            </w:r>
          </w:p>
        </w:tc>
        <w:tc>
          <w:tcPr>
            <w:tcW w:type="dxa" w:w="6236"/>
          </w:tcPr>
          <w:p>
            <w:pPr>
              <w:spacing w:lineRule="exact" w:line="600"/>
              <w:jc w:val="center"/>
            </w:pPr>
            <w:r/>
            <w:r>
              <w:rPr>
                <w:rFonts w:ascii="仿宋_GB2312" w:hAnsi="仿宋_GB2312" w:eastAsia="仿宋_GB2312"/>
                <w:b w:val="0"/>
                <w:color w:val="000000"/>
                <w:sz w:val="32"/>
              </w:rPr>
              <w:t>10条全自动规范化生产线</w:t>
            </w:r>
          </w:p>
        </w:tc>
      </w:tr>
      <w:tr>
        <w:tc>
          <w:tcPr>
            <w:tcW w:type="dxa" w:w="2551"/>
          </w:tcPr>
          <w:p>
            <w:pPr>
              <w:spacing w:lineRule="exact" w:line="600"/>
              <w:jc w:val="center"/>
            </w:pPr>
            <w:r/>
            <w:r>
              <w:rPr>
                <w:rFonts w:ascii="仿宋_GB2312" w:hAnsi="仿宋_GB2312" w:eastAsia="仿宋_GB2312"/>
                <w:b w:val="0"/>
                <w:color w:val="000000"/>
                <w:sz w:val="32"/>
              </w:rPr>
              <w:t>资质</w:t>
            </w:r>
          </w:p>
        </w:tc>
        <w:tc>
          <w:tcPr>
            <w:tcW w:type="dxa" w:w="6236"/>
          </w:tcPr>
          <w:p>
            <w:pPr>
              <w:spacing w:lineRule="exact" w:line="600"/>
              <w:jc w:val="center"/>
            </w:pPr>
            <w:r/>
            <w:r>
              <w:rPr>
                <w:rFonts w:ascii="仿宋_GB2312" w:hAnsi="仿宋_GB2312" w:eastAsia="仿宋_GB2312"/>
                <w:b w:val="0"/>
                <w:color w:val="000000"/>
                <w:sz w:val="32"/>
              </w:rPr>
              <w:t>高新技术企业、省级创新型企业、A级纳税人</w:t>
            </w:r>
          </w:p>
        </w:tc>
      </w:tr>
      <w:tr>
        <w:tc>
          <w:tcPr>
            <w:tcW w:type="dxa" w:w="2551"/>
          </w:tcPr>
          <w:p>
            <w:pPr>
              <w:spacing w:lineRule="exact" w:line="600"/>
              <w:jc w:val="center"/>
            </w:pPr>
            <w:r/>
            <w:r>
              <w:rPr>
                <w:rFonts w:ascii="仿宋_GB2312" w:hAnsi="仿宋_GB2312" w:eastAsia="仿宋_GB2312"/>
                <w:b w:val="0"/>
                <w:color w:val="000000"/>
                <w:sz w:val="32"/>
              </w:rPr>
              <w:t>知识产权</w:t>
            </w:r>
          </w:p>
        </w:tc>
        <w:tc>
          <w:tcPr>
            <w:tcW w:type="dxa" w:w="6236"/>
          </w:tcPr>
          <w:p>
            <w:pPr>
              <w:spacing w:lineRule="exact" w:line="600"/>
              <w:jc w:val="center"/>
            </w:pPr>
            <w:r/>
            <w:r>
              <w:rPr>
                <w:rFonts w:ascii="仿宋_GB2312" w:hAnsi="仿宋_GB2312" w:eastAsia="仿宋_GB2312"/>
                <w:b w:val="0"/>
                <w:color w:val="000000"/>
                <w:sz w:val="32"/>
              </w:rPr>
              <w:t>43项、2商标</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财务数据未公开披露。母料行业毛利率受原料（树脂、矿物填料）价格与加工费竞争影响，通常处于中游；公司差异化（纳米硫酸钡多功能填充母料）与出口业务有助于提升溢价。</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无公开资产数据。小微企业资产以设备、存货与应收为主，需关注账期与存货周转。</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无公开负债数据。建议授信前核查企业征信、实控人连带及对外担保情况。</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无公开现金流数据。母料销售回款周期一般，需关注经营性现金流。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与同集群的诺森塑胶（国家级"小巨人"、年产6.2万吨）相比，诺鑫规模偏小（年产2万吨）、资质层级较低，但在填充母料细分领域具差异化与出口（欧洲）基础，是集群协同的重要支撑。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公司为自然人独资的有限责任公司，治理结构简易，由阎克林任执行董事兼总经理负责经营，王秀芹任监事，未建立董事会。</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法定代表人、执行董事兼总经理阎克林；监事王秀芹。管理团队以创始人主导，决策链条短。</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作为小微企业，内控体系相对基础，主要依靠实控人管理；需关注安全生产（塑料加工）与环保合规。公司建立了质量管控与专职检测队伍（2名检测人员）。</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工商参保约14人，人员规模小，以技术与生产工人为主；公司披露研发及市场调研人员12名，具备一定研发密度（43项知识产权佐证）。</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产品差异化：主推纳米硫酸钡多功能填充母料，并覆盖消泡、透明、碳酸钙、滑石粉、色母等六大类，满足多元场景。二是出口渠道：聚焦西班牙等欧洲市场，与诺森协同出海。三是技术与资质：高新技术企业、省级创新型企业，43项知识产权、2商标，联合高校攻关填补国内空白。四是集群协同：位于徐园子乡色母粒基地，上游原料就近配套、成本可控。五是投资布局：对外投资5家企业，延伸产业链。</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与价格风险：树脂、矿物填料价格受石化与矿产品行情波动，影响成本与毛利。二是市场竞争风险：母料加工门槛相对较低、同质化竞争严重，加工费承压；应对以纳米硫酸钡等差异化产品提升溢价。三是客户与回款风险：存在买卖合同纠纷裁判文书（湖南合创新材料案），需加强信用管理。四是规模与抗风险能力弱：小微企业抗周期能力有限，扩张受资金约束。五是安全环保风险：塑料加工涉及机械与职业健康安全，须合规投入。</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出口与内销应收账款可开展保理融资，缓解回款压力。供应链金融：围绕核心原料采购做订单融资、票据贴现。融资租赁：10条生产线设备升级适合直租/回租，盘活固定资产。小贷：面向临时性周转提供短贷。鉴于企业规模小，建议以"小额、分散、强担保"为原则，优先绑定优质出口应收账款与设备抵押。</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庆云诺鑫塑胶新材料是庆云纳米高分子材料集群中产品差异化明确、具备出口（欧洲）基础与高新技术企业资质的支撑企业，但规模偏小、财务透明度低、抗风险能力有限。发展展望：据行业趋势，环保与功能性母料需求增长，公司可依托纳米硫酸钡多功能填充母料与欧洲渠道稳步发展。建议：一是补充规范财务与征信资料后再行授信；二是以出口应收保理与设备融资租赁为切入点，控制额度；三是关注原料价格与回款风险，设置动态监测；四是借力集群协同与诺森龙头联动开发。</w:t>
      </w:r>
    </w:p>
    <w:p>
      <w:pPr>
        <w:spacing w:lineRule="exact" w:line="600" w:before="0" w:after="0"/>
        <w:jc w:val="left"/>
      </w:pPr>
      <w:r>
        <w:rPr>
          <w:rFonts w:ascii="仿宋_GB2312" w:hAnsi="仿宋_GB2312" w:eastAsia="仿宋_GB2312"/>
          <w:b w:val="0"/>
          <w:color w:val="000000"/>
          <w:sz w:val="28"/>
        </w:rPr>
        <w:t>数据来源说明：天眼查/爱企查/企查查/启信宝/水滴信用（工商、股权、资质、知识产权、对外投资、裁判文书）、企业官网 sdqynxsj.com（产品、产能、生产线、人员）、庆云县相关报道（集群协同与联合研发）。财务数据未公开披露，已如实标注。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