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德州市德城区高性能纤维及复合材料特色产业集群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山东双一科技股份有限公司（300690）企业分析报告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双一科技股份有限公司（证券简称"双一科技"，股票代码300690）前身系山东德州双一实业有限公司，成立于2000年3月6日，于2017年8月8日在深圳证券交易所创业板挂牌上市，法定代表人为王庆华，统一社会信用代码91370000735787086N，企业类型为其他股份有限公司（上市），注册资本16,534.8919万元（实缴同），注册地址位于德州市德城区新华工业园双一路1号，登记机关为德州市市场监督管理局，经营状态为存续。参保人数约1,055人，人员规模1,000—4,999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截至2025年末，王庆华持有公司36.68%股份，为控股股东及实际控制人；前十大股东合计持股约47.55%，其余为自然人股东及香港中央结算有限公司（北向资金）等。公司为民营控股上市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上市公众公司，设董事会、监事会及经营管理层；下属武城分公司及多家子公司，业务覆盖非金属模具、风电复合材料部件、车辆轻量化部件、先进复合材料制品、精品游钓艇五大板块；天眼查显示对外投资10家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2000年3月成立；2017年8月登陆创业板；长期专注复合材料成型工艺，形成"工艺矩阵"（热压罐、HP-RTM、P-DCPD、VARI、PCM、SMC、LRTM等）；近年拓展复合材料3D打印、低空经济飞行器结构件等新应用；2024年营收9.44亿元、2025年营收突破10亿元，稳步修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复合材料产品研发、设计、生产、销售和服务于一体的现代化高新技术企业，风电复合材料部件与非金属模具领域的重要供应商。主营业务为复合材料制品、风电复合材料部件、非金属模具的设计制造销售，风机、冷却塔设计制造销售及货物技术进出口；主要产品涵盖大型非金属模具（叶片模具等，长度可达120m）、风电机舱罩/轮毂罩/叶片根、车辆轻量化部件、游钓艇、碳纤维部件及复合材料3D打印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产品划分（2025年报）：风电配套类收入4.70亿元（占比46.63%）、非金属模具类3.29亿元（占比32.67%）、车辆部件类1.83亿元（占比18.13%）、其他0.26亿元（占比2.56%）。按地区：境内7.87亿元（78.07%）、境外2.21亿元（21.93%）。风电配套与非金属模具为双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风力发电机舱罩、轮毂罩、叶片根、大型非金属模具（风电叶片/游艇/车辆部件模具）、工程机械与农用机械车罩、游艇、乘用车覆盖件、碳纤维部件（无人机/飞艇骨架）、复合材料3D打印部件（PEEK-CF、PA-CF、PPS-CF材料）。产品规格涵盖750KW—16MW（2024年报提及25MW级别）风电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全球知名企业：Vestas（维斯塔斯）、金风科技、明阳智能、SiemensGamesa（西门子歌美飒）、中车株洲时代、三一重能、Caterpillar（卡特彼勒）、比亚迪、宇通汽车、山河智能等。2024年前五大客户合计销售4.43亿元（占比46.92%），客户集中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主要原材料为树脂、玻璃纤维/碳纤维、芯材、钢材等，实行集中采购、超市管理模式；2024年前五名供应商采购金额1.22亿元（占比26.31%），供应相对分散。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多种复合材料成型工艺产线与大型模具制造能力（模具长度可达120m）；通过ISO9001等体系，获CRAA、消防、节能等产品认证；累计专利227项、商标23项、著作权1项；具备风电、车辆、游艇、低空等多领域资质与客户准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配套、非金属模具、车辆覆盖件以直销为主，面向全球知名OEM；游艇整船以经销方式销售（澳洲、新西兰、北美、东南亚等）；复合材料3D打印件服务飞行器与汽车客户，支持OEM、交钥匙工程、联合设计开发等多模式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9.44亿元、归母净利润8,595.15万元、毛利率24.13%；2025年营收10.08亿元、归母净利润1.60亿元（2025年报）。在风电零部件行业，公司风电配套与非金属模具细分领域具重要地位，但公开资料未给出量化市场占有率；前五大客户占比近47%，对头部风电整机厂依赖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双一科技为深交所创业板上市公司（300690），数据来自2022—2024年年度报告及东方财富/同花顺/巨潮资讯，单位：元。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1,031,336,944.03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749,243,092.96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943,552,669.35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81,922,668.63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87,938,827.79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85,951,505.42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21.06%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26.54%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24.13%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21.82%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20.11%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23.24%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1,739,974,571.53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1,780,971,045.98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1,920,030,443.80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总负债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380,173,685.11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358,215,160.87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446,252,592.00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约1,357,434,504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约1,420,570,994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约1,473,777,852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33,418,710.96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128,833,491.29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115,104,670.76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基本每股收益(元)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0.52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2022年10.31亿元降至2023年7.49亿元（-27.35%）后，2024年回升至9.44亿元（+25.93%）；归母净利润三年分别为8,192万、8,794万、8,595万元，2024年同比微降2.26%。毛利率2023年升至26.54%（+5.48pct）后2024年回落至24.13%。盈利受风电行业装机节奏与产品价格影响波动，但维持在8,000万—1.6亿元区间，2025年净利进一步增至1.60亿元，呈修复态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2024年末总资产19.20亿元，负债4.46亿元，净资产约14.74亿元；资产以固定资产、存货、应收账款为主，与模具与复合材料制造匹配；有息负债率仅约6%，资产结构稳健。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2024年末资产负债率23.24%，速动比率2.75、流动比率3.24，有息负债约2,680万元（有息负债率6.01%），偿债压力极低、财务杠杆保守，现金比率151.12%，流动性充裕。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经营活动现金流净额2022年0.33亿元、2023年1.29亿元（+285.51%）、2024年1.15亿元（-10.66%）；净利润现金含量134.24%（2024年），盈利质量较好、回款健康。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风电零部件行业已披露数据的可比公司中，双一科技营收规模中等，但资产负债率（约23%）显著低于行业平均，财务稳健；毛利率（24%左右）处于行业中游；客户绑定维斯塔斯、金风、明阳等头部整机厂，订单质量较高但集中度风险并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上市公众公司，设董事会（董事长王庆华）、监事会及管理层，独立董事占比合规；2024年审计机构变更为上会会计师事务所（标准无保留意见）；持续督导由华泰联合证券履行。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董事长王庆华（控股股东、实际控制人，持股36.68%）；总经理姚建美；董事会秘书王首扬；财务总监韩庆广；常务副总经理赵福城等。管理层稳定、利益与股东绑定。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按上市公司要求建立内控与信息披露体系；通过ISO9001等质量体系，研发与质量管控规范；下设技术中心，工艺矩阵完善。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2024年员工总数1,721人，人均创收54.83万元、人均创利4.99万元、人均薪酬12.4万元；人员以生产与技术工人为主，研发人员支撑227项专利产出。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工艺与客户壁垒：掌握热压罐/HP-RTM/SMC/PCM等多工艺"矩阵"，深度绑定维斯塔斯、金风、明阳、西门子歌美飒、中车、比亚迪等全球头部客户，进入壁垒高。二是技术与专利：累计专利227项，大型非金属模具（叶片模具可达120m）制造能力国内领先。三是财务稳健：资产负债率约23%、有息负债率低，抗周期能力强。四是业务多元：风电、模具、车辆、游艇、3D打印、低空多领域布局，分散单一行业风险。五是资质与品牌：上市公众公司规范度高，CRAA/消防/节能等认证齐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集中风险：前五大客户占比近47%，对头部风电整机厂依赖度高，单一客户波动影响大。二是行业周期风险：风电装机受政策与电价影响波动，2022—2023年营收下滑即为例证。三是原材料价格风险：树脂、纤维等受石化行情波动。四是盈利波动风险：毛利率随产品价格与结构在21%—26%间波动。五是技术与迭代风险：模具与部件需持续跟进大兆瓦风机与轻量化趋势。六是轻微合规风险：公开显示存在少量裁判文书与涉诉记录，整体风险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金风、明阳、中车等头部客户的应收账款账期较长，可开展保理融资盘活资金。供应链金融：围绕核心客户为其原材料供应商提供订单与存货融资。融资租赁：模具与产线设备投资适合直租/回租。小贷：面向临时周转。双一科技财务稳健、客户优质、规范性高，是低风险优质客户，建议以"头部客户应收保理+设备融资租赁"组合切入，额度可匹配其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双一科技是德城区高性能纤维及复合材料集群的上市龙头企业，工艺矩阵完善、客户绑定全球头部、财务极度稳健、盈利修复向好，但客户集中、受风电周期影响。发展展望：据公司规划与行业趋势，风电大兆瓦化、车辆轻量化、低空经济与复合材料3D打印需求增长，公司2025年营收破10亿、净利1.6亿，成长空间明确。建议：一是对接头部客户应收保理与设备融资租赁；二是关注客户集中度与风电装机节奏，设置动态监测；三是以供应链金融服务链属中小企业，形成批量资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数据来源说明：双一科技2022—2024年年度报告（巨潮资讯网）、2025年年度报告业绩数据（东方财富/同花顺）、公司官网 shuangyitec.com（产品与工艺）、天眼查（工商、股权、专利）、深交所公告。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