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德州市德城区高性能纤维及复合材料特色产业集群</w:t>
      </w:r>
    </w:p>
    <w:p>
      <w:pPr>
        <w:spacing w:lineRule="exact" w:line="600" w:before="240" w:after="240"/>
        <w:ind w:firstLine="0"/>
        <w:jc w:val="center"/>
      </w:pPr>
      <w:r>
        <w:rPr>
          <w:rFonts w:ascii="方正小标宋简体" w:hAnsi="方正小标宋简体" w:eastAsia="方正小标宋简体"/>
          <w:b w:val="0"/>
          <w:color w:val="000000"/>
          <w:sz w:val="44"/>
        </w:rPr>
        <w:t>德州永兴碳素有限公司企业分析报告</w:t>
      </w:r>
    </w:p>
    <w:p>
      <w:pPr>
        <w:spacing w:lineRule="exact" w:line="600" w:before="0" w:after="0"/>
        <w:jc w:val="left"/>
      </w:pPr>
      <w:r>
        <w:rPr>
          <w:rFonts w:ascii="仿宋_GB2312" w:hAnsi="仿宋_GB2312" w:eastAsia="仿宋_GB2312"/>
          <w:b w:val="0"/>
          <w:color w:val="000000"/>
          <w:sz w:val="28"/>
        </w:rPr>
        <w:t>（本报告数据来源于公司年报/半年报、交易所及港交所公告、巨潮资讯网、东方财富、天眼查/爱企查/企查查、公司官网及权威媒体等公开渠道，统计时点截至最新披露信息；非上市企业未公开披露财务数据已如实标注，未作任何编造。报告供山东省投资有限公司业务参考之用。）</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（一）工商信息</w:t>
      </w:r>
    </w:p>
    <w:p>
      <w:pPr>
        <w:spacing w:lineRule="exact" w:line="600" w:before="0" w:after="0"/>
        <w:ind w:firstLine="420"/>
        <w:jc w:val="both"/>
      </w:pPr>
      <w:r>
        <w:rPr>
          <w:rFonts w:ascii="仿宋_GB2312" w:hAnsi="仿宋_GB2312" w:eastAsia="仿宋_GB2312"/>
          <w:b w:val="0"/>
          <w:color w:val="000000"/>
          <w:sz w:val="32"/>
        </w:rPr>
        <w:t>德州永兴碳素有限公司成立于2004年9月9日，法定代表人翟春泉（董事长），统一社会信用代码913714007666789587，企业类型为有限责任公司（自然人投资或控股），注册资本3,545万元，注册地址位于山东省德州市德城区天衢街道办事处天衢工业园恒东路266号，登记机关为德州市德城区市场监督管理局，经营状态为存续。参保人数约255人，人员规模200—299人，属小微企业。</w:t>
      </w:r>
    </w:p>
    <w:p>
      <w:pPr>
        <w:spacing w:lineRule="exact" w:line="600" w:before="0" w:after="0"/>
        <w:ind w:firstLine="420"/>
        <w:jc w:val="both"/>
      </w:pPr>
      <w:r>
        <w:rPr>
          <w:rFonts w:ascii="仿宋_GB2312" w:hAnsi="仿宋_GB2312" w:eastAsia="仿宋_GB2312"/>
          <w:b w:val="0"/>
          <w:color w:val="000000"/>
          <w:sz w:val="32"/>
        </w:rPr>
        <w:t>股权结构：翟春泉持股34.20%（大股东、实际控制人），德州市德城区天衢街道办事处翟时庄村村民委员会持股21.72%，翟建中、翟艳民、翟春阳等十余名自然人合计持股约44%；为民营控股、含村集体股东的混合所有制企业，无国有出资人。</w:t>
      </w:r>
    </w:p>
    <w:p>
      <w:pPr>
        <w:spacing w:lineRule="exact" w:line="600" w:before="120" w:after="120"/>
        <w:ind w:firstLine="420"/>
        <w:jc w:val="left"/>
      </w:pPr>
      <w:r>
        <w:rPr>
          <w:rFonts w:ascii="楷体_GB2312" w:hAnsi="楷体_GB2312" w:eastAsia="楷体_GB2312"/>
          <w:b w:val="0"/>
          <w:color w:val="000000"/>
          <w:sz w:val="32"/>
        </w:rPr>
        <w:t>（二）组织架构</w:t>
      </w:r>
    </w:p>
    <w:p>
      <w:pPr>
        <w:spacing w:lineRule="exact" w:line="600" w:before="0" w:after="0"/>
        <w:ind w:firstLine="420"/>
        <w:jc w:val="both"/>
      </w:pPr>
      <w:r>
        <w:rPr>
          <w:rFonts w:ascii="仿宋_GB2312" w:hAnsi="仿宋_GB2312" w:eastAsia="仿宋_GB2312"/>
          <w:b w:val="0"/>
          <w:color w:val="000000"/>
          <w:sz w:val="32"/>
        </w:rPr>
        <w:t>公司设董事会（董事长翟春泉）及监事，下辖生产与技术研发体系；对外投资3家企业（含德州永兴物流有限公司等），形成"碳素制造+物流"配套；主营石墨及碳素制品制造销售与热力生产供应。</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2004年9月成立（前身可追溯至1988年德州碳素厂）；专注铝电解用预焙阳极等碳素制品，获2023年度德州市"工业企业50强"、2025年省级工业互联网平台、市级绿色工厂等荣誉；通过自主研发预焙阳极生产装置专利，在碳素制品领域形成差异化优势，并推进数字化转型。</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企业定位为专业石墨及碳素制品制造商，德城区重点工业企业。主营业务为石墨及碳素制品制造与销售、热力生产和供应、石油制品销售（不含危险化学品）、金属材料销售、非居住房地产租赁，以及货物/技术进出口。主导产品包括铝电解用预焙阳极、阳极糊、煅后焦、增碳剂、半石墨质阴极炭块、焙烧电极等。</w:t>
      </w:r>
    </w:p>
    <w:p>
      <w:pPr>
        <w:spacing w:lineRule="exact" w:line="600" w:before="120" w:after="120"/>
        <w:ind w:firstLine="420"/>
        <w:jc w:val="left"/>
      </w:pPr>
      <w:r>
        <w:rPr>
          <w:rFonts w:ascii="黑体" w:hAnsi="黑体" w:eastAsia="黑体"/>
          <w:b w:val="0"/>
          <w:color w:val="000000"/>
          <w:sz w:val="32"/>
        </w:rPr>
        <w:t>二、业务层面分析</w:t>
      </w:r>
    </w:p>
    <w:p>
      <w:pPr>
        <w:spacing w:lineRule="exact" w:line="600" w:before="120" w:after="120"/>
        <w:ind w:firstLine="420"/>
        <w:jc w:val="left"/>
      </w:pPr>
      <w:r>
        <w:rPr>
          <w:rFonts w:ascii="楷体_GB2312" w:hAnsi="楷体_GB2312" w:eastAsia="楷体_GB2312"/>
          <w:b w:val="0"/>
          <w:color w:val="000000"/>
          <w:sz w:val="32"/>
        </w:rPr>
        <w:t>（一）业务结构与收入构成</w:t>
      </w:r>
    </w:p>
    <w:p>
      <w:pPr>
        <w:spacing w:lineRule="exact" w:line="600" w:before="0" w:after="0"/>
        <w:ind w:firstLine="420"/>
        <w:jc w:val="both"/>
      </w:pPr>
      <w:r>
        <w:rPr>
          <w:rFonts w:ascii="仿宋_GB2312" w:hAnsi="仿宋_GB2312" w:eastAsia="仿宋_GB2312"/>
          <w:b w:val="0"/>
          <w:color w:val="000000"/>
          <w:sz w:val="32"/>
        </w:rPr>
        <w:t>业务以预焙阳极等铝用碳素制品为核心，辅以阳极糊、煅后焦、增碳剂及热力供应；历史资料显示公司具年产铝电解用预焙阳极10万吨能力（固定资产2.6亿元口径），为德州支柱企业与出口创汇大户。公司未公开披露分产品收入占比。</w:t>
      </w:r>
    </w:p>
    <w:p>
      <w:pPr>
        <w:spacing w:lineRule="exact" w:line="600" w:before="120" w:after="120"/>
        <w:ind w:firstLine="420"/>
        <w:jc w:val="left"/>
      </w:pPr>
      <w:r>
        <w:rPr>
          <w:rFonts w:ascii="楷体_GB2312" w:hAnsi="楷体_GB2312" w:eastAsia="楷体_GB2312"/>
          <w:b w:val="0"/>
          <w:color w:val="000000"/>
          <w:sz w:val="32"/>
        </w:rPr>
        <w:t>（二）主要产品与服务</w:t>
      </w:r>
    </w:p>
    <w:p>
      <w:pPr>
        <w:spacing w:lineRule="exact" w:line="600" w:before="0" w:after="0"/>
        <w:ind w:firstLine="420"/>
        <w:jc w:val="both"/>
      </w:pPr>
      <w:r>
        <w:rPr>
          <w:rFonts w:ascii="仿宋_GB2312" w:hAnsi="仿宋_GB2312" w:eastAsia="仿宋_GB2312"/>
          <w:b w:val="0"/>
          <w:color w:val="000000"/>
          <w:sz w:val="32"/>
        </w:rPr>
        <w:t>主导产品：预焙阳极、阳极糊、煅后焦、增碳剂、半石墨质阴极炭块、焙烧电极等；拥有预焙阳极生坯成型装置负压抽吸系统、铝电解预焙阳极焙烧炉用火道、带自动打码功能振动成型机等专利，技术适配铝电解与冶金需求。</w:t>
      </w:r>
    </w:p>
    <w:p>
      <w:pPr>
        <w:spacing w:lineRule="exact" w:line="600" w:before="120" w:after="120"/>
        <w:ind w:firstLine="420"/>
        <w:jc w:val="left"/>
      </w:pPr>
      <w:r>
        <w:rPr>
          <w:rFonts w:ascii="楷体_GB2312" w:hAnsi="楷体_GB2312" w:eastAsia="楷体_GB2312"/>
          <w:b w:val="0"/>
          <w:color w:val="000000"/>
          <w:sz w:val="32"/>
        </w:rPr>
        <w:t>（三）客户分析</w:t>
      </w:r>
    </w:p>
    <w:p>
      <w:pPr>
        <w:spacing w:lineRule="exact" w:line="600" w:before="0" w:after="0"/>
        <w:ind w:firstLine="420"/>
        <w:jc w:val="both"/>
      </w:pPr>
      <w:r>
        <w:rPr>
          <w:rFonts w:ascii="仿宋_GB2312" w:hAnsi="仿宋_GB2312" w:eastAsia="仿宋_GB2312"/>
          <w:b w:val="0"/>
          <w:color w:val="000000"/>
          <w:sz w:val="32"/>
        </w:rPr>
        <w:t>下游为电解铝、冶金及铸造企业，预焙阳极作为铝电解核心耗材需求稳定；公司具自营进出口权，产品出口，客户覆盖国内铝厂及海外冶金企业。</w:t>
      </w:r>
    </w:p>
    <w:p>
      <w:pPr>
        <w:spacing w:lineRule="exact" w:line="600" w:before="120" w:after="120"/>
        <w:ind w:firstLine="420"/>
        <w:jc w:val="left"/>
      </w:pPr>
      <w:r>
        <w:rPr>
          <w:rFonts w:ascii="楷体_GB2312" w:hAnsi="楷体_GB2312" w:eastAsia="楷体_GB2312"/>
          <w:b w:val="0"/>
          <w:color w:val="000000"/>
          <w:sz w:val="32"/>
        </w:rPr>
        <w:t>（四）供应商与采购</w:t>
      </w:r>
    </w:p>
    <w:p>
      <w:pPr>
        <w:spacing w:lineRule="exact" w:line="600" w:before="0" w:after="0"/>
        <w:ind w:firstLine="420"/>
        <w:jc w:val="both"/>
      </w:pPr>
      <w:r>
        <w:rPr>
          <w:rFonts w:ascii="仿宋_GB2312" w:hAnsi="仿宋_GB2312" w:eastAsia="仿宋_GB2312"/>
          <w:b w:val="0"/>
          <w:color w:val="000000"/>
          <w:sz w:val="32"/>
        </w:rPr>
        <w:t>生产所需石油焦（主要原料）、煤沥青等为主要采购对象，价格受国际原油与煤化工行情波动；公司通过预焙阳极装置专利优化能耗与成本。</w:t>
      </w:r>
    </w:p>
    <w:p>
      <w:pPr>
        <w:spacing w:lineRule="exact" w:line="600" w:before="120" w:after="120"/>
        <w:ind w:firstLine="420"/>
        <w:jc w:val="left"/>
      </w:pPr>
      <w:r>
        <w:rPr>
          <w:rFonts w:ascii="楷体_GB2312" w:hAnsi="楷体_GB2312" w:eastAsia="楷体_GB2312"/>
          <w:b w:val="0"/>
          <w:color w:val="000000"/>
          <w:sz w:val="32"/>
        </w:rPr>
        <w:t>（五）产能/资源/牌照</w:t>
      </w:r>
    </w:p>
    <w:p>
      <w:pPr>
        <w:spacing w:lineRule="exact" w:line="600" w:before="0" w:after="0"/>
        <w:ind w:firstLine="420"/>
        <w:jc w:val="both"/>
      </w:pPr>
      <w:r>
        <w:rPr>
          <w:rFonts w:ascii="仿宋_GB2312" w:hAnsi="仿宋_GB2312" w:eastAsia="仿宋_GB2312"/>
          <w:b w:val="0"/>
          <w:color w:val="000000"/>
          <w:sz w:val="32"/>
        </w:rPr>
        <w:t>历史资料称具备年产预焙阳极10万吨能力、固定资产2.6亿元；持有相关生产许可与进出口权；2025年入选市级绿色工厂、省级工业互联网平台，获多项预焙阳极生产装置专利，数字化转型与环保成效显著。</w:t>
      </w:r>
    </w:p>
    <w:p>
      <w:pPr>
        <w:spacing w:lineRule="exact" w:line="600" w:before="120" w:after="120"/>
        <w:ind w:firstLine="420"/>
        <w:jc w:val="left"/>
      </w:pPr>
      <w:r>
        <w:rPr>
          <w:rFonts w:ascii="楷体_GB2312" w:hAnsi="楷体_GB2312" w:eastAsia="楷体_GB2312"/>
          <w:b w:val="0"/>
          <w:color w:val="000000"/>
          <w:sz w:val="32"/>
        </w:rPr>
        <w:t>（六）销售与渠道</w:t>
      </w:r>
    </w:p>
    <w:p>
      <w:pPr>
        <w:spacing w:lineRule="exact" w:line="600" w:before="0" w:after="0"/>
        <w:ind w:firstLine="420"/>
        <w:jc w:val="both"/>
      </w:pPr>
      <w:r>
        <w:rPr>
          <w:rFonts w:ascii="仿宋_GB2312" w:hAnsi="仿宋_GB2312" w:eastAsia="仿宋_GB2312"/>
          <w:b w:val="0"/>
          <w:color w:val="000000"/>
          <w:sz w:val="32"/>
        </w:rPr>
        <w:t>以直销对接铝厂与冶金客户为主，依托自营进出口开展海外销售；作为德城区重点工业企业，享受区域产业与政策支持。</w:t>
      </w:r>
    </w:p>
    <w:p>
      <w:pPr>
        <w:spacing w:lineRule="exact" w:line="600" w:before="120" w:after="120"/>
        <w:ind w:firstLine="420"/>
        <w:jc w:val="left"/>
      </w:pPr>
      <w:r>
        <w:rPr>
          <w:rFonts w:ascii="楷体_GB2312" w:hAnsi="楷体_GB2312" w:eastAsia="楷体_GB2312"/>
          <w:b w:val="0"/>
          <w:color w:val="000000"/>
          <w:sz w:val="32"/>
        </w:rPr>
        <w:t>（七）经营数据与市场占有率</w:t>
      </w:r>
    </w:p>
    <w:p>
      <w:pPr>
        <w:spacing w:lineRule="exact" w:line="600" w:before="0" w:after="0"/>
        <w:ind w:firstLine="420"/>
        <w:jc w:val="both"/>
      </w:pPr>
      <w:r>
        <w:rPr>
          <w:rFonts w:ascii="仿宋_GB2312" w:hAnsi="仿宋_GB2312" w:eastAsia="仿宋_GB2312"/>
          <w:b w:val="0"/>
          <w:color w:val="000000"/>
          <w:sz w:val="32"/>
        </w:rPr>
        <w:t>公司为非上市小微企业，近三年完整财务数据未公开披露；公开资料显示其为德州市工业企业50强、年产能预焙阳极10万吨级，在铝用碳素细分领域具区域重要地位，但无公开量化市场占有率。</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（一）近三年主要会计数据</w:t>
      </w:r>
    </w:p>
    <w:p>
      <w:pPr>
        <w:spacing w:lineRule="exact" w:line="600" w:before="0" w:after="0"/>
        <w:jc w:val="left"/>
      </w:pPr>
      <w:r>
        <w:rPr>
          <w:rFonts w:ascii="仿宋_GB2312" w:hAnsi="仿宋_GB2312" w:eastAsia="仿宋_GB2312"/>
          <w:b w:val="0"/>
          <w:color w:val="000000"/>
          <w:sz w:val="28"/>
        </w:rPr>
        <w:t>德州永兴碳素为非上市小微企业，近三年完整财务报表未公开披露，以下列公开工商与产能信息，不作财务数据编造。</w:t>
      </w:r>
    </w:p>
    <w:tbl>
      <w:tblPr>
        <w:tblStyle w:val="TableGrid"/>
        <w:tblW w:type="auto" w:w="0"/>
        <w:jc w:val="center"/>
        <w:tblLook w:firstColumn="1" w:firstRow="1" w:lastColumn="0" w:lastRow="0" w:noHBand="0" w:noVBand="1" w:val="04A0"/>
      </w:tblPr>
      <w:tblGrid>
        <w:gridCol w:w="4422"/>
        <w:gridCol w:w="4422"/>
      </w:tblGrid>
      <w:tr>
        <w:tc>
          <w:tcPr>
            <w:tcW w:type="dxa" w:w="2551"/>
          </w:tcPr>
          <w:p>
            <w:pPr>
              <w:spacing w:lineRule="exact" w:line="600"/>
              <w:jc w:val="center"/>
            </w:pPr>
            <w:r/>
            <w:r>
              <w:rPr>
                <w:rFonts w:ascii="黑体" w:hAnsi="黑体" w:eastAsia="黑体"/>
                <w:b/>
                <w:color w:val="000000"/>
                <w:sz w:val="32"/>
              </w:rPr>
              <w:t>指标</w:t>
            </w:r>
          </w:p>
        </w:tc>
        <w:tc>
          <w:tcPr>
            <w:tcW w:type="dxa" w:w="6236"/>
          </w:tcPr>
          <w:p>
            <w:pPr>
              <w:spacing w:lineRule="exact" w:line="600"/>
              <w:jc w:val="center"/>
            </w:pPr>
            <w:r/>
            <w:r>
              <w:rPr>
                <w:rFonts w:ascii="黑体" w:hAnsi="黑体" w:eastAsia="黑体"/>
                <w:b/>
                <w:color w:val="000000"/>
                <w:sz w:val="32"/>
              </w:rPr>
              <w:t>公开披露值</w:t>
            </w:r>
          </w:p>
        </w:tc>
      </w:tr>
      <w:tr>
        <w:tc>
          <w:tcPr>
            <w:tcW w:type="dxa" w:w="2551"/>
          </w:tcPr>
          <w:p>
            <w:pPr>
              <w:spacing w:lineRule="exact" w:line="600"/>
              <w:jc w:val="center"/>
            </w:pPr>
            <w:r/>
            <w:r>
              <w:rPr>
                <w:rFonts w:ascii="仿宋_GB2312" w:hAnsi="仿宋_GB2312" w:eastAsia="仿宋_GB2312"/>
                <w:b w:val="0"/>
                <w:color w:val="000000"/>
                <w:sz w:val="32"/>
              </w:rPr>
              <w:t>注册资本</w:t>
            </w:r>
          </w:p>
        </w:tc>
        <w:tc>
          <w:tcPr>
            <w:tcW w:type="dxa" w:w="6236"/>
          </w:tcPr>
          <w:p>
            <w:pPr>
              <w:spacing w:lineRule="exact" w:line="600"/>
              <w:jc w:val="center"/>
            </w:pPr>
            <w:r/>
            <w:r>
              <w:rPr>
                <w:rFonts w:ascii="仿宋_GB2312" w:hAnsi="仿宋_GB2312" w:eastAsia="仿宋_GB2312"/>
                <w:b w:val="0"/>
                <w:color w:val="000000"/>
                <w:sz w:val="32"/>
              </w:rPr>
              <w:t>3,545万元</w:t>
            </w:r>
          </w:p>
        </w:tc>
      </w:tr>
      <w:tr>
        <w:tc>
          <w:tcPr>
            <w:tcW w:type="dxa" w:w="2551"/>
          </w:tcPr>
          <w:p>
            <w:pPr>
              <w:spacing w:lineRule="exact" w:line="600"/>
              <w:jc w:val="center"/>
            </w:pPr>
            <w:r/>
            <w:r>
              <w:rPr>
                <w:rFonts w:ascii="仿宋_GB2312" w:hAnsi="仿宋_GB2312" w:eastAsia="仿宋_GB2312"/>
                <w:b w:val="0"/>
                <w:color w:val="000000"/>
                <w:sz w:val="32"/>
              </w:rPr>
              <w:t>成立时间</w:t>
            </w:r>
          </w:p>
        </w:tc>
        <w:tc>
          <w:tcPr>
            <w:tcW w:type="dxa" w:w="6236"/>
          </w:tcPr>
          <w:p>
            <w:pPr>
              <w:spacing w:lineRule="exact" w:line="600"/>
              <w:jc w:val="center"/>
            </w:pPr>
            <w:r/>
            <w:r>
              <w:rPr>
                <w:rFonts w:ascii="仿宋_GB2312" w:hAnsi="仿宋_GB2312" w:eastAsia="仿宋_GB2312"/>
                <w:b w:val="0"/>
                <w:color w:val="000000"/>
                <w:sz w:val="32"/>
              </w:rPr>
              <w:t>2004-09-09</w:t>
            </w:r>
          </w:p>
        </w:tc>
      </w:tr>
      <w:tr>
        <w:tc>
          <w:tcPr>
            <w:tcW w:type="dxa" w:w="2551"/>
          </w:tcPr>
          <w:p>
            <w:pPr>
              <w:spacing w:lineRule="exact" w:line="600"/>
              <w:jc w:val="center"/>
            </w:pPr>
            <w:r/>
            <w:r>
              <w:rPr>
                <w:rFonts w:ascii="仿宋_GB2312" w:hAnsi="仿宋_GB2312" w:eastAsia="仿宋_GB2312"/>
                <w:b w:val="0"/>
                <w:color w:val="000000"/>
                <w:sz w:val="32"/>
              </w:rPr>
              <w:t>参保人数</w:t>
            </w:r>
          </w:p>
        </w:tc>
        <w:tc>
          <w:tcPr>
            <w:tcW w:type="dxa" w:w="6236"/>
          </w:tcPr>
          <w:p>
            <w:pPr>
              <w:spacing w:lineRule="exact" w:line="600"/>
              <w:jc w:val="center"/>
            </w:pPr>
            <w:r/>
            <w:r>
              <w:rPr>
                <w:rFonts w:ascii="仿宋_GB2312" w:hAnsi="仿宋_GB2312" w:eastAsia="仿宋_GB2312"/>
                <w:b w:val="0"/>
                <w:color w:val="000000"/>
                <w:sz w:val="32"/>
              </w:rPr>
              <w:t>约255人</w:t>
            </w:r>
          </w:p>
        </w:tc>
      </w:tr>
      <w:tr>
        <w:tc>
          <w:tcPr>
            <w:tcW w:type="dxa" w:w="2551"/>
          </w:tcPr>
          <w:p>
            <w:pPr>
              <w:spacing w:lineRule="exact" w:line="600"/>
              <w:jc w:val="center"/>
            </w:pPr>
            <w:r/>
            <w:r>
              <w:rPr>
                <w:rFonts w:ascii="仿宋_GB2312" w:hAnsi="仿宋_GB2312" w:eastAsia="仿宋_GB2312"/>
                <w:b w:val="0"/>
                <w:color w:val="000000"/>
                <w:sz w:val="32"/>
              </w:rPr>
              <w:t>企业类型</w:t>
            </w:r>
          </w:p>
        </w:tc>
        <w:tc>
          <w:tcPr>
            <w:tcW w:type="dxa" w:w="6236"/>
          </w:tcPr>
          <w:p>
            <w:pPr>
              <w:spacing w:lineRule="exact" w:line="600"/>
              <w:jc w:val="center"/>
            </w:pPr>
            <w:r/>
            <w:r>
              <w:rPr>
                <w:rFonts w:ascii="仿宋_GB2312" w:hAnsi="仿宋_GB2312" w:eastAsia="仿宋_GB2312"/>
                <w:b w:val="0"/>
                <w:color w:val="000000"/>
                <w:sz w:val="32"/>
              </w:rPr>
              <w:t>有限责任公司（自然人投资或控股）</w:t>
            </w:r>
          </w:p>
        </w:tc>
      </w:tr>
      <w:tr>
        <w:tc>
          <w:tcPr>
            <w:tcW w:type="dxa" w:w="2551"/>
          </w:tcPr>
          <w:p>
            <w:pPr>
              <w:spacing w:lineRule="exact" w:line="600"/>
              <w:jc w:val="center"/>
            </w:pPr>
            <w:r/>
            <w:r>
              <w:rPr>
                <w:rFonts w:ascii="仿宋_GB2312" w:hAnsi="仿宋_GB2312" w:eastAsia="仿宋_GB2312"/>
                <w:b w:val="0"/>
                <w:color w:val="000000"/>
                <w:sz w:val="32"/>
              </w:rPr>
              <w:t>预焙阳极产能</w:t>
            </w:r>
          </w:p>
        </w:tc>
        <w:tc>
          <w:tcPr>
            <w:tcW w:type="dxa" w:w="6236"/>
          </w:tcPr>
          <w:p>
            <w:pPr>
              <w:spacing w:lineRule="exact" w:line="600"/>
              <w:jc w:val="center"/>
            </w:pPr>
            <w:r/>
            <w:r>
              <w:rPr>
                <w:rFonts w:ascii="仿宋_GB2312" w:hAnsi="仿宋_GB2312" w:eastAsia="仿宋_GB2312"/>
                <w:b w:val="0"/>
                <w:color w:val="000000"/>
                <w:sz w:val="32"/>
              </w:rPr>
              <w:t>约10万吨/年（历史资料）</w:t>
            </w:r>
          </w:p>
        </w:tc>
      </w:tr>
      <w:tr>
        <w:tc>
          <w:tcPr>
            <w:tcW w:type="dxa" w:w="2551"/>
          </w:tcPr>
          <w:p>
            <w:pPr>
              <w:spacing w:lineRule="exact" w:line="600"/>
              <w:jc w:val="center"/>
            </w:pPr>
            <w:r/>
            <w:r>
              <w:rPr>
                <w:rFonts w:ascii="仿宋_GB2312" w:hAnsi="仿宋_GB2312" w:eastAsia="仿宋_GB2312"/>
                <w:b w:val="0"/>
                <w:color w:val="000000"/>
                <w:sz w:val="32"/>
              </w:rPr>
              <w:t>营收/利润</w:t>
            </w:r>
          </w:p>
        </w:tc>
        <w:tc>
          <w:tcPr>
            <w:tcW w:type="dxa" w:w="6236"/>
          </w:tcPr>
          <w:p>
            <w:pPr>
              <w:spacing w:lineRule="exact" w:line="600"/>
              <w:jc w:val="center"/>
            </w:pPr>
            <w:r/>
            <w:r>
              <w:rPr>
                <w:rFonts w:ascii="仿宋_GB2312" w:hAnsi="仿宋_GB2312" w:eastAsia="仿宋_GB2312"/>
                <w:b w:val="0"/>
                <w:color w:val="000000"/>
                <w:sz w:val="32"/>
              </w:rPr>
              <w:t>未公开披露</w:t>
            </w:r>
          </w:p>
        </w:tc>
      </w:tr>
    </w:tbl>
    <w:p>
      <w:pPr>
        <w:spacing w:lineRule="exact" w:line="600" w:before="120" w:after="120"/>
        <w:ind w:firstLine="420"/>
        <w:jc w:val="left"/>
      </w:pPr>
      <w:r>
        <w:rPr>
          <w:rFonts w:ascii="楷体_GB2312" w:hAnsi="楷体_GB2312" w:eastAsia="楷体_GB2312"/>
          <w:b w:val="0"/>
          <w:color w:val="000000"/>
          <w:sz w:val="32"/>
        </w:rPr>
        <w:t>（二）盈利分析</w:t>
      </w:r>
    </w:p>
    <w:p>
      <w:pPr>
        <w:spacing w:lineRule="exact" w:line="600" w:before="0" w:after="0"/>
        <w:ind w:firstLine="420"/>
        <w:jc w:val="both"/>
      </w:pPr>
      <w:r>
        <w:rPr>
          <w:rFonts w:ascii="仿宋_GB2312" w:hAnsi="仿宋_GB2312" w:eastAsia="仿宋_GB2312"/>
          <w:b w:val="0"/>
          <w:color w:val="000000"/>
          <w:sz w:val="32"/>
        </w:rPr>
        <w:t>财务数据未公开披露。碳素行业盈利随石油焦、煤沥青与铝价周期波动，预焙阳极加工费受供需影响，历史上盈利弹性较大。</w:t>
      </w:r>
    </w:p>
    <w:p>
      <w:pPr>
        <w:spacing w:lineRule="exact" w:line="600" w:before="120" w:after="120"/>
        <w:ind w:firstLine="420"/>
        <w:jc w:val="left"/>
      </w:pPr>
      <w:r>
        <w:rPr>
          <w:rFonts w:ascii="楷体_GB2312" w:hAnsi="楷体_GB2312" w:eastAsia="楷体_GB2312"/>
          <w:b w:val="0"/>
          <w:color w:val="000000"/>
          <w:sz w:val="32"/>
        </w:rPr>
        <w:t>（三）资产质量</w:t>
      </w:r>
    </w:p>
    <w:p>
      <w:pPr>
        <w:spacing w:lineRule="exact" w:line="600" w:before="0" w:after="0"/>
        <w:ind w:firstLine="420"/>
        <w:jc w:val="both"/>
      </w:pPr>
      <w:r>
        <w:rPr>
          <w:rFonts w:ascii="仿宋_GB2312" w:hAnsi="仿宋_GB2312" w:eastAsia="仿宋_GB2312"/>
          <w:b w:val="0"/>
          <w:color w:val="000000"/>
          <w:sz w:val="32"/>
        </w:rPr>
        <w:t>无公开资产数据。重资产属性下固定资产（焙烧炉、成型设备）占比高，历史资料称固定资产2.6亿元。</w:t>
      </w:r>
    </w:p>
    <w:p>
      <w:pPr>
        <w:spacing w:lineRule="exact" w:line="600" w:before="120" w:after="120"/>
        <w:ind w:firstLine="420"/>
        <w:jc w:val="left"/>
      </w:pPr>
      <w:r>
        <w:rPr>
          <w:rFonts w:ascii="楷体_GB2312" w:hAnsi="楷体_GB2312" w:eastAsia="楷体_GB2312"/>
          <w:b w:val="0"/>
          <w:color w:val="000000"/>
          <w:sz w:val="32"/>
        </w:rPr>
        <w:t>（四）负债与偿债</w:t>
      </w:r>
    </w:p>
    <w:p>
      <w:pPr>
        <w:spacing w:lineRule="exact" w:line="600" w:before="0" w:after="0"/>
        <w:ind w:firstLine="420"/>
        <w:jc w:val="both"/>
      </w:pPr>
      <w:r>
        <w:rPr>
          <w:rFonts w:ascii="仿宋_GB2312" w:hAnsi="仿宋_GB2312" w:eastAsia="仿宋_GB2312"/>
          <w:b w:val="0"/>
          <w:color w:val="000000"/>
          <w:sz w:val="32"/>
        </w:rPr>
        <w:t>无公开负债数据。授信前需核查有息负债、实控人连带及对外担保。</w:t>
      </w:r>
    </w:p>
    <w:p>
      <w:pPr>
        <w:spacing w:lineRule="exact" w:line="600" w:before="120" w:after="120"/>
        <w:ind w:firstLine="420"/>
        <w:jc w:val="left"/>
      </w:pPr>
      <w:r>
        <w:rPr>
          <w:rFonts w:ascii="楷体_GB2312" w:hAnsi="楷体_GB2312" w:eastAsia="楷体_GB2312"/>
          <w:b w:val="0"/>
          <w:color w:val="000000"/>
          <w:sz w:val="32"/>
        </w:rPr>
        <w:t>（五）现金流分析</w:t>
      </w:r>
    </w:p>
    <w:p>
      <w:pPr>
        <w:spacing w:lineRule="exact" w:line="600" w:before="0" w:after="0"/>
        <w:ind w:firstLine="420"/>
        <w:jc w:val="both"/>
      </w:pPr>
      <w:r>
        <w:rPr>
          <w:rFonts w:ascii="仿宋_GB2312" w:hAnsi="仿宋_GB2312" w:eastAsia="仿宋_GB2312"/>
          <w:b w:val="0"/>
          <w:color w:val="000000"/>
          <w:sz w:val="32"/>
        </w:rPr>
        <w:t>无公开现金流数据。原料采购与铝厂回款周期相关，需关注经营性现金流。</w:t>
      </w:r>
    </w:p>
    <w:p>
      <w:pPr>
        <w:spacing w:lineRule="exact" w:line="600" w:before="120" w:after="120"/>
        <w:ind w:firstLine="420"/>
        <w:jc w:val="left"/>
      </w:pPr>
      <w:r>
        <w:rPr>
          <w:rFonts w:ascii="楷体_GB2312" w:hAnsi="楷体_GB2312" w:eastAsia="楷体_GB2312"/>
          <w:b w:val="0"/>
          <w:color w:val="000000"/>
          <w:sz w:val="32"/>
        </w:rPr>
        <w:t>（六）关键指标横向对标</w:t>
      </w:r>
    </w:p>
    <w:p>
      <w:pPr>
        <w:spacing w:lineRule="exact" w:line="600" w:before="0" w:after="0"/>
        <w:ind w:firstLine="420"/>
        <w:jc w:val="both"/>
      </w:pPr>
      <w:r>
        <w:rPr>
          <w:rFonts w:ascii="仿宋_GB2312" w:hAnsi="仿宋_GB2312" w:eastAsia="仿宋_GB2312"/>
          <w:b w:val="0"/>
          <w:color w:val="000000"/>
          <w:sz w:val="32"/>
        </w:rPr>
        <w:t>与大型预焙阳极企业（如索通发展等）相比，永兴碳素规模偏小、区域配套特征明显，但作为德州市工业企业50强，在区域铝用碳素供应链中具稳定地位。</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（一）治理结构</w:t>
      </w:r>
    </w:p>
    <w:p>
      <w:pPr>
        <w:spacing w:lineRule="exact" w:line="600" w:before="0" w:after="0"/>
        <w:ind w:firstLine="420"/>
        <w:jc w:val="both"/>
      </w:pPr>
      <w:r>
        <w:rPr>
          <w:rFonts w:ascii="仿宋_GB2312" w:hAnsi="仿宋_GB2312" w:eastAsia="仿宋_GB2312"/>
          <w:b w:val="0"/>
          <w:color w:val="000000"/>
          <w:sz w:val="32"/>
        </w:rPr>
        <w:t>自然人控股、含村集体股东的有限责任公司，设董事会（董事长翟春泉）与监事，治理兼顾民营效率与村集体股东参与。</w:t>
      </w:r>
    </w:p>
    <w:p>
      <w:pPr>
        <w:spacing w:lineRule="exact" w:line="600" w:before="120" w:after="120"/>
        <w:ind w:firstLine="420"/>
        <w:jc w:val="left"/>
      </w:pPr>
      <w:r>
        <w:rPr>
          <w:rFonts w:ascii="楷体_GB2312" w:hAnsi="楷体_GB2312" w:eastAsia="楷体_GB2312"/>
          <w:b w:val="0"/>
          <w:color w:val="000000"/>
          <w:sz w:val="32"/>
        </w:rPr>
        <w:t>（二）管理层</w:t>
      </w:r>
    </w:p>
    <w:p>
      <w:pPr>
        <w:spacing w:lineRule="exact" w:line="600" w:before="0" w:after="0"/>
        <w:ind w:firstLine="420"/>
        <w:jc w:val="both"/>
      </w:pPr>
      <w:r>
        <w:rPr>
          <w:rFonts w:ascii="仿宋_GB2312" w:hAnsi="仿宋_GB2312" w:eastAsia="仿宋_GB2312"/>
          <w:b w:val="0"/>
          <w:color w:val="000000"/>
          <w:sz w:val="32"/>
        </w:rPr>
        <w:t>法定代表人/董事长翟春泉，主导企业战略与经营；商业合作伙伴20人，管理层行业经验丰富。</w:t>
      </w:r>
    </w:p>
    <w:p>
      <w:pPr>
        <w:spacing w:lineRule="exact" w:line="600" w:before="120" w:after="120"/>
        <w:ind w:firstLine="420"/>
        <w:jc w:val="left"/>
      </w:pPr>
      <w:r>
        <w:rPr>
          <w:rFonts w:ascii="楷体_GB2312" w:hAnsi="楷体_GB2312" w:eastAsia="楷体_GB2312"/>
          <w:b w:val="0"/>
          <w:color w:val="000000"/>
          <w:sz w:val="32"/>
        </w:rPr>
        <w:t>（三）组织与内控</w:t>
      </w:r>
    </w:p>
    <w:p>
      <w:pPr>
        <w:spacing w:lineRule="exact" w:line="600" w:before="0" w:after="0"/>
        <w:ind w:firstLine="420"/>
        <w:jc w:val="both"/>
      </w:pPr>
      <w:r>
        <w:rPr>
          <w:rFonts w:ascii="仿宋_GB2312" w:hAnsi="仿宋_GB2312" w:eastAsia="仿宋_GB2312"/>
          <w:b w:val="0"/>
          <w:color w:val="000000"/>
          <w:sz w:val="32"/>
        </w:rPr>
        <w:t>作为碳素制造企业，须满足安全生产与环保（VOC、能耗）合规要求；2025年入选省级工业互联网平台与市级绿色工厂，体现数字化与环保内控成效。</w:t>
      </w:r>
    </w:p>
    <w:p>
      <w:pPr>
        <w:spacing w:lineRule="exact" w:line="600" w:before="120" w:after="120"/>
        <w:ind w:firstLine="420"/>
        <w:jc w:val="left"/>
      </w:pPr>
      <w:r>
        <w:rPr>
          <w:rFonts w:ascii="楷体_GB2312" w:hAnsi="楷体_GB2312" w:eastAsia="楷体_GB2312"/>
          <w:b w:val="0"/>
          <w:color w:val="000000"/>
          <w:sz w:val="32"/>
        </w:rPr>
        <w:t>（四）人力资源</w:t>
      </w:r>
    </w:p>
    <w:p>
      <w:pPr>
        <w:spacing w:lineRule="exact" w:line="600" w:before="0" w:after="0"/>
        <w:ind w:firstLine="420"/>
        <w:jc w:val="both"/>
      </w:pPr>
      <w:r>
        <w:rPr>
          <w:rFonts w:ascii="仿宋_GB2312" w:hAnsi="仿宋_GB2312" w:eastAsia="仿宋_GB2312"/>
          <w:b w:val="0"/>
          <w:color w:val="000000"/>
          <w:sz w:val="32"/>
        </w:rPr>
        <w:t>参保约255人，人员以生产与技术工人为主；拥有多项预焙阳极生产装置专利，具备一定研发与工艺人才。</w:t>
      </w:r>
    </w:p>
    <w:p>
      <w:pPr>
        <w:spacing w:lineRule="exact" w:line="600" w:before="120" w:after="120"/>
        <w:ind w:firstLine="420"/>
        <w:jc w:val="left"/>
      </w:pPr>
      <w:r>
        <w:rPr>
          <w:rFonts w:ascii="黑体" w:hAnsi="黑体" w:eastAsia="黑体"/>
          <w:b w:val="0"/>
          <w:color w:val="000000"/>
          <w:sz w:val="32"/>
        </w:rPr>
        <w:t>五、核心竞争力（护城河）</w:t>
      </w:r>
    </w:p>
    <w:p>
      <w:pPr>
        <w:spacing w:lineRule="exact" w:line="600" w:before="0" w:after="0"/>
        <w:ind w:firstLine="420"/>
        <w:jc w:val="both"/>
      </w:pPr>
      <w:r>
        <w:rPr>
          <w:rFonts w:ascii="仿宋_GB2312" w:hAnsi="仿宋_GB2312" w:eastAsia="仿宋_GB2312"/>
          <w:b w:val="0"/>
          <w:color w:val="000000"/>
          <w:sz w:val="32"/>
        </w:rPr>
        <w:t>一是产能与区域地位：预焙阳极10万吨级产能，德州市工业企业50强，区域铝用碳素供应链稳定配套。二是技术与专利：预焙阳极生坯成型、焙烧炉火道、自动打码振动成型等专利形成工艺差异化。三是客户与出口：具自营进出口权，绑定铝厂与冶金客户。四是数字化与绿色：省级工业互联网平台、市级绿色工厂，降本与合规优势。五是混合所有制：含村集体股东，区域资源协同。</w:t>
      </w:r>
    </w:p>
    <w:p>
      <w:pPr>
        <w:spacing w:lineRule="exact" w:line="600" w:before="120" w:after="120"/>
        <w:ind w:firstLine="420"/>
        <w:jc w:val="left"/>
      </w:pPr>
      <w:r>
        <w:rPr>
          <w:rFonts w:ascii="黑体" w:hAnsi="黑体" w:eastAsia="黑体"/>
          <w:b w:val="0"/>
          <w:color w:val="000000"/>
          <w:sz w:val="32"/>
        </w:rPr>
        <w:t>六、风险分析（重点）</w:t>
      </w:r>
    </w:p>
    <w:p>
      <w:pPr>
        <w:spacing w:lineRule="exact" w:line="600" w:before="0" w:after="0"/>
        <w:ind w:firstLine="420"/>
        <w:jc w:val="both"/>
      </w:pPr>
      <w:r>
        <w:rPr>
          <w:rFonts w:ascii="仿宋_GB2312" w:hAnsi="仿宋_GB2312" w:eastAsia="仿宋_GB2312"/>
          <w:b w:val="0"/>
          <w:color w:val="000000"/>
          <w:sz w:val="32"/>
        </w:rPr>
        <w:t>一是行业周期风险：预焙阳极需求与电解铝、铝价高度相关，景气波动直接影响盈利。二是原料价格风险：石油焦、煤沥青受原油与煤化工行情波动。三是环保与能耗风险：碳素生产涉及焙烧能耗与排放，须持续合规投入（绿色工厂为积极信号）。四是客户集中风险：依赖铝厂客户，订单波动影响大。五是规模风险：相较龙头规模偏小，抗周期能力有限。</w:t>
      </w:r>
    </w:p>
    <w:p>
      <w:pPr>
        <w:spacing w:lineRule="exact" w:line="600" w:before="120" w:after="120"/>
        <w:ind w:firstLine="420"/>
        <w:jc w:val="left"/>
      </w:pPr>
      <w:r>
        <w:rPr>
          <w:rFonts w:ascii="黑体" w:hAnsi="黑体" w:eastAsia="黑体"/>
          <w:b w:val="0"/>
          <w:color w:val="000000"/>
          <w:sz w:val="32"/>
        </w:rPr>
        <w:t>七、融资需求（与山东投资协同）</w:t>
      </w:r>
    </w:p>
    <w:p>
      <w:pPr>
        <w:spacing w:lineRule="exact" w:line="600" w:before="0" w:after="0"/>
        <w:ind w:firstLine="420"/>
        <w:jc w:val="both"/>
      </w:pPr>
      <w:r>
        <w:rPr>
          <w:rFonts w:ascii="仿宋_GB2312" w:hAnsi="仿宋_GB2312" w:eastAsia="仿宋_GB2312"/>
          <w:b w:val="0"/>
          <w:color w:val="000000"/>
          <w:sz w:val="32"/>
        </w:rPr>
        <w:t>保理业务：对铝厂客户的应收账款可开展保理。供应链金融：围绕核心企业提供订单融资、票据贴现。融资租赁：焙烧炉、成型设备等装置升级适合直租/回租。小贷：面向临时周转。鉴于企业区域地位稳固但规模有限，建议以"设备融资租赁+应收保理"切入，控制额度并设增信。</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0" w:after="0"/>
        <w:ind w:firstLine="420"/>
        <w:jc w:val="both"/>
      </w:pPr>
      <w:r>
        <w:rPr>
          <w:rFonts w:ascii="仿宋_GB2312" w:hAnsi="仿宋_GB2312" w:eastAsia="仿宋_GB2312"/>
          <w:b w:val="0"/>
          <w:color w:val="000000"/>
          <w:sz w:val="32"/>
        </w:rPr>
        <w:t>综合评价：德州永兴碳素是德城区高性能纤维及复合材料集群的碳素配套骨干，产能与区域地位稳固、技术与绿色制造成效明显，但非上市财务不透明、强周期、规模偏小。发展展望：据行业趋势，电解铝与新能源对预焙阳极需求总体稳定，公司依托数字化与绿色工厂有望降本提质。建议：一是对接设备融资租赁与应收保理；二是授信前补充规范财务资料；三是关注铝价周期与环保合规，设置动态监测。</w:t>
      </w:r>
    </w:p>
    <w:p>
      <w:pPr>
        <w:spacing w:lineRule="exact" w:line="600" w:before="0" w:after="0"/>
        <w:jc w:val="left"/>
      </w:pPr>
      <w:r>
        <w:rPr>
          <w:rFonts w:ascii="仿宋_GB2312" w:hAnsi="仿宋_GB2312" w:eastAsia="仿宋_GB2312"/>
          <w:b w:val="0"/>
          <w:color w:val="000000"/>
          <w:sz w:val="28"/>
        </w:rPr>
        <w:t>数据来源说明：天眼查/爱企查/企查查/启信宝/水滴信用（工商、股权、资质、荣誉）、公开黄页（产能与产品）、德州市工业企业50强公示。财务数据未公开披露，已如实标注。</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