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惠民县高端装备智能制造特色产业集群</w:t>
      </w:r>
    </w:p>
    <w:p>
      <w:pPr>
        <w:spacing w:lineRule="exact" w:line="600" w:before="240" w:after="240"/>
        <w:ind w:firstLine="0"/>
        <w:jc w:val="center"/>
      </w:pPr>
      <w:r>
        <w:rPr>
          <w:rFonts w:ascii="方正小标宋简体" w:hAnsi="方正小标宋简体" w:eastAsia="方正小标宋简体"/>
          <w:b w:val="0"/>
          <w:color w:val="000000"/>
          <w:sz w:val="44"/>
        </w:rPr>
        <w:t>山东国创精密机械有限公司企业分析报告</w:t>
      </w:r>
    </w:p>
    <w:p>
      <w:pPr>
        <w:spacing w:lineRule="exact" w:line="600" w:before="0" w:after="0"/>
        <w:jc w:val="left"/>
      </w:pPr>
      <w:r>
        <w:rPr>
          <w:rFonts w:ascii="仿宋_GB2312" w:hAnsi="仿宋_GB2312" w:eastAsia="仿宋_GB2312"/>
          <w:b w:val="0"/>
          <w:color w:val="000000"/>
          <w:sz w:val="28"/>
        </w:rPr>
        <w:t>（本报告数据来源于公司年报/半年报、交易所及港交所公告、国家企业信用信息公示系统、天眼查/爱企查/企查查/启信宝、公司官网及权威媒体（滨州日报、大众日报、聊城日报、中国铸造协会、地方党报及政府官网）等公开渠道，统计时点截至最新披露信息；非上市企业未公开披露财务数据已如实标注，未作任何编造。报告供山东省投资有限公司业务参考之用。）</w:t>
      </w:r>
    </w:p>
    <w:p>
      <w:pPr>
        <w:spacing w:lineRule="exact" w:line="600" w:before="0" w:after="0"/>
        <w:jc w:val="left"/>
      </w:pPr>
      <w:r>
        <w:rPr>
          <w:rFonts w:ascii="仿宋_GB2312" w:hAnsi="仿宋_GB2312" w:eastAsia="仿宋_GB2312"/>
          <w:b w:val="0"/>
          <w:color w:val="000000"/>
          <w:sz w:val="28"/>
        </w:rPr>
        <w:t>（性质说明：山东国创精密机械有限公司为山东龙马控股集团有限公司全资子公司，属民营控股企业（非国有企业），本报告据此撰写，并在国资相关表述上予以澄清。）</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山东国创精密机械有限公司统一社会信用代码91371621MA3DN5BK7T，成立于2017年5月15日，法定代表人为贾从刚，注册资本30,300万元人民币（实缴30,000万元），注册地址位于山东省滨州市惠民县经济开发区孙武五路597号，登记机关为滨州市惠民县市场监督管理局。企业类型为其他有限责任公司，员工参保人数约2,984人（2025年工商年报），企业规模大型。曾用名山东力丰精密机械有限公司（2019年）。</w:t>
      </w:r>
    </w:p>
    <w:p>
      <w:pPr>
        <w:spacing w:lineRule="exact" w:line="600" w:before="0" w:after="0"/>
        <w:ind w:firstLine="420"/>
        <w:jc w:val="both"/>
      </w:pPr>
      <w:r>
        <w:rPr>
          <w:rFonts w:ascii="仿宋_GB2312" w:hAnsi="仿宋_GB2312" w:eastAsia="仿宋_GB2312"/>
          <w:b w:val="0"/>
          <w:color w:val="000000"/>
          <w:sz w:val="32"/>
        </w:rPr>
        <w:t>股权结构与实控人：股东为龙马控股集团有限公司（持股99.0099%）与贾从刚（0.9901%）；龙马控股集团由乔双庆（57.33%）、邓建双（33.33%）、贾从刚（9.33%）等自然人持股，疑似实际控制人乔双庆（持股约56.77%）。属民营控股企业，无国有资产监督管理委员会或地方国资平台持股记录，非国有企业。</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设法定代表人/总经理（贾从刚）及经营管理层，下辖模具设计、砂箱制作、铸造、精密加工、涂装防腐、物流运输等全流程车间，并设研发中心（150余人研发团队）、检测中心（CNAS实验室）。对外投资1家企业，属龙马控股集团风电装备板块核心。集团在惠民县风电产业园形成“产品研发、生产制造、风场运营”一体化基地。</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公司始创于2003年（前身山东力丰精密机械），2017年5月成立山东国创精密机械有限公司；历经十余年发展，确立“技术高端、设备高端、产品高端、客户高端、全产业链布局”的“四高一全”战略；建成从模具设计、砂箱制作到轮毂、底座、铸造法兰、定转轴等20余种铸件产品的全产业链能力；引进西班牙籍铸造专家JOSEBA任技术总监、德国籍专家Minkner博士任质量总监；2023年入选山东省风电产业联盟生产制造领域链主企业，2024年5月滨州惠民风电装备基地纳入《山东省海上风电装备发展白皮书》（全省共4个），2024年入选第八批国家级制造业单项冠军企业（我省第二家风电装备领域单项冠军）；研发的海上14MW风电关键零部件——超大型轮毂铸造技术被中国铸造协会认定为国际先进水平。</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企业定位为国内风电装备全产业链配置龙头企业、山东省风电产业链联盟链主企业、国家制造业单项冠军企业。主营业务为发电机及发电机组制造、新能源原动设备制造、风力发电机组零部件销售、金属成形/切削机床制造与销售、轴承齿轮和传动部件制造与销售、特种设备制造与安装改造修理、货物与技术进出口。核心产品为风电铸件（轮毂、底座、定轴、转轴、铸造法兰等20余种）、高铁铸件、机床铸件。</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业务以风电铸件为核心，覆盖轮毂、底座、定轴、转轴、铸造法兰等20余种风电铸件，并向高铁铸件、机床铸件延伸；形成“模具设计—砂箱制作—铸造—精密加工—涂装防腐—物流”全产业链。公司未公开披露分产品收入占比；公开报道口径资产总额近80亿元。</w:t>
      </w:r>
    </w:p>
    <w:p>
      <w:pPr>
        <w:spacing w:lineRule="exact" w:line="600" w:before="120" w:after="120"/>
        <w:ind w:firstLine="420"/>
        <w:jc w:val="left"/>
      </w:pPr>
      <w:r>
        <w:rPr>
          <w:rFonts w:ascii="楷体_GB2312" w:hAnsi="楷体_GB2312" w:eastAsia="楷体_GB2312"/>
          <w:b w:val="0"/>
          <w:color w:val="000000"/>
          <w:sz w:val="32"/>
        </w:rPr>
        <w:t>（二）主要产品与服务</w:t>
      </w:r>
    </w:p>
    <w:p>
      <w:pPr>
        <w:spacing w:lineRule="exact" w:line="600" w:before="0" w:after="0"/>
        <w:ind w:firstLine="420"/>
        <w:jc w:val="both"/>
      </w:pPr>
      <w:r>
        <w:rPr>
          <w:rFonts w:ascii="仿宋_GB2312" w:hAnsi="仿宋_GB2312" w:eastAsia="仿宋_GB2312"/>
          <w:b w:val="0"/>
          <w:color w:val="000000"/>
          <w:sz w:val="32"/>
        </w:rPr>
        <w:t>主导产品：风电轮毂、底座、定轴、转轴、铸造法兰、轴承座等20余种风电铸件，风电结构件；高铁铸件、机床铸件；铸件最大单重达160吨。代表性技术：海上14MW风电关键零部件超大型轮毂铸造技术（中国铸造协会认定国际先进）。具备从模具到涂装的全流程交付能力。</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国内客户：金风科技、远景能源、中国中车、东方电气、中船海装等行业龙头；海外客户：德国西门子、丹麦维斯塔斯、美国通用（GE）、德国爱纳康等世界风电巨头，已实现深度战略合作。客户结构以全球风电整机与发电设备龙头为主，优质且稳定。</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生产所需生铁、废钢、合金材料、铸造砂、能源及机床设备为主要采购对象，原料价格随钢铁与能源行情波动；大型铸件生产能耗高，电力成本占比显著。</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产能与资源：年可生产各种风电铸件30万吨、风电结构件3,000套，铸件最大单重160吨，国内同行业规模最大；资产总额近80亿元（报道口径），员工约3,000人（参保2,984人）。资质：国家高新技术企业、国家专精特新“小巨人”、国家制造业单项冠军企业、国家博士后科研工作站、CNAS实验室、省一企一技术研发中心、省博士创新实践基地；通过ISO9001、ISO14001、OHSAS18001、DNVGL厂认证；拥有专利89项（年报口径）、100多项自主知识产权（报道口径）、商标7项。</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以直销对接全球风电整机龙头为主，建立长期战略合作与合格供应商体系（如金风质量信用5A供应商连续7年）；依托龙马控股集团产业园协同，提供从研发、制造到运维的整体方案。</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公司为非上市民营企业，近三年完整财务报表未公开披露，无公开营收、利润数据；但公开报道显示资产总额近80亿元、年生产风电铸件30万吨、风电结构件3,000套，国内风电铸件规模稳居全国同行业第一位、国内市场占有率30%以上，为全球风电装备制造规模最大的配套商之一。2023年入选首台（套）技术装备及关键核心零部件企业名单，获2024年山东省装备制造业协会科技创新一等奖。</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jc w:val="left"/>
      </w:pPr>
      <w:r>
        <w:rPr>
          <w:rFonts w:ascii="仿宋_GB2312" w:hAnsi="仿宋_GB2312" w:eastAsia="仿宋_GB2312"/>
          <w:b w:val="0"/>
          <w:color w:val="000000"/>
          <w:sz w:val="28"/>
        </w:rPr>
        <w:t>山东国创精密机械有限公司为非上市民营企业，近三年财务报表未公开披露，以下仅列公开工商与报道口径数据，单位：万元，不作编造。</w:t>
      </w:r>
    </w:p>
    <w:tbl>
      <w:tblPr>
        <w:tblStyle w:val="TableGrid"/>
        <w:tblW w:type="auto" w:w="0"/>
        <w:jc w:val="center"/>
        <w:tblLook w:firstColumn="1" w:firstRow="1" w:lastColumn="0" w:lastRow="0" w:noHBand="0" w:noVBand="1" w:val="04A0"/>
      </w:tblPr>
      <w:tblGrid>
        <w:gridCol w:w="4422"/>
        <w:gridCol w:w="4422"/>
      </w:tblGrid>
      <w:tr>
        <w:tc>
          <w:tcPr>
            <w:tcW w:type="dxa" w:w="2551"/>
          </w:tcPr>
          <w:p>
            <w:pPr>
              <w:spacing w:lineRule="exact" w:line="600"/>
              <w:jc w:val="center"/>
            </w:pPr>
            <w:r/>
            <w:r>
              <w:rPr>
                <w:rFonts w:ascii="黑体" w:hAnsi="黑体" w:eastAsia="黑体"/>
                <w:b/>
                <w:color w:val="000000"/>
                <w:sz w:val="32"/>
              </w:rPr>
              <w:t>指标</w:t>
            </w:r>
          </w:p>
        </w:tc>
        <w:tc>
          <w:tcPr>
            <w:tcW w:type="dxa" w:w="6236"/>
          </w:tcPr>
          <w:p>
            <w:pPr>
              <w:spacing w:lineRule="exact" w:line="600"/>
              <w:jc w:val="center"/>
            </w:pPr>
            <w:r/>
            <w:r>
              <w:rPr>
                <w:rFonts w:ascii="黑体" w:hAnsi="黑体" w:eastAsia="黑体"/>
                <w:b/>
                <w:color w:val="000000"/>
                <w:sz w:val="32"/>
              </w:rPr>
              <w:t>公开披露值</w:t>
            </w:r>
          </w:p>
        </w:tc>
      </w:tr>
      <w:tr>
        <w:tc>
          <w:tcPr>
            <w:tcW w:type="dxa" w:w="2551"/>
          </w:tcPr>
          <w:p>
            <w:pPr>
              <w:spacing w:lineRule="exact" w:line="600"/>
              <w:jc w:val="center"/>
            </w:pPr>
            <w:r/>
            <w:r>
              <w:rPr>
                <w:rFonts w:ascii="仿宋_GB2312" w:hAnsi="仿宋_GB2312" w:eastAsia="仿宋_GB2312"/>
                <w:b w:val="0"/>
                <w:color w:val="000000"/>
                <w:sz w:val="32"/>
              </w:rPr>
              <w:t>注册资本</w:t>
            </w:r>
          </w:p>
        </w:tc>
        <w:tc>
          <w:tcPr>
            <w:tcW w:type="dxa" w:w="6236"/>
          </w:tcPr>
          <w:p>
            <w:pPr>
              <w:spacing w:lineRule="exact" w:line="600"/>
              <w:jc w:val="center"/>
            </w:pPr>
            <w:r/>
            <w:r>
              <w:rPr>
                <w:rFonts w:ascii="仿宋_GB2312" w:hAnsi="仿宋_GB2312" w:eastAsia="仿宋_GB2312"/>
                <w:b w:val="0"/>
                <w:color w:val="000000"/>
                <w:sz w:val="32"/>
              </w:rPr>
              <w:t>30,300（实缴30,000）</w:t>
            </w:r>
          </w:p>
        </w:tc>
      </w:tr>
      <w:tr>
        <w:tc>
          <w:tcPr>
            <w:tcW w:type="dxa" w:w="2551"/>
          </w:tcPr>
          <w:p>
            <w:pPr>
              <w:spacing w:lineRule="exact" w:line="600"/>
              <w:jc w:val="center"/>
            </w:pPr>
            <w:r/>
            <w:r>
              <w:rPr>
                <w:rFonts w:ascii="仿宋_GB2312" w:hAnsi="仿宋_GB2312" w:eastAsia="仿宋_GB2312"/>
                <w:b w:val="0"/>
                <w:color w:val="000000"/>
                <w:sz w:val="32"/>
              </w:rPr>
              <w:t>成立时间</w:t>
            </w:r>
          </w:p>
        </w:tc>
        <w:tc>
          <w:tcPr>
            <w:tcW w:type="dxa" w:w="6236"/>
          </w:tcPr>
          <w:p>
            <w:pPr>
              <w:spacing w:lineRule="exact" w:line="600"/>
              <w:jc w:val="center"/>
            </w:pPr>
            <w:r/>
            <w:r>
              <w:rPr>
                <w:rFonts w:ascii="仿宋_GB2312" w:hAnsi="仿宋_GB2312" w:eastAsia="仿宋_GB2312"/>
                <w:b w:val="0"/>
                <w:color w:val="000000"/>
                <w:sz w:val="32"/>
              </w:rPr>
              <w:t>2017-05-15</w:t>
            </w:r>
          </w:p>
        </w:tc>
      </w:tr>
      <w:tr>
        <w:tc>
          <w:tcPr>
            <w:tcW w:type="dxa" w:w="2551"/>
          </w:tcPr>
          <w:p>
            <w:pPr>
              <w:spacing w:lineRule="exact" w:line="600"/>
              <w:jc w:val="center"/>
            </w:pPr>
            <w:r/>
            <w:r>
              <w:rPr>
                <w:rFonts w:ascii="仿宋_GB2312" w:hAnsi="仿宋_GB2312" w:eastAsia="仿宋_GB2312"/>
                <w:b w:val="0"/>
                <w:color w:val="000000"/>
                <w:sz w:val="32"/>
              </w:rPr>
              <w:t>实控人</w:t>
            </w:r>
          </w:p>
        </w:tc>
        <w:tc>
          <w:tcPr>
            <w:tcW w:type="dxa" w:w="6236"/>
          </w:tcPr>
          <w:p>
            <w:pPr>
              <w:spacing w:lineRule="exact" w:line="600"/>
              <w:jc w:val="center"/>
            </w:pPr>
            <w:r/>
            <w:r>
              <w:rPr>
                <w:rFonts w:ascii="仿宋_GB2312" w:hAnsi="仿宋_GB2312" w:eastAsia="仿宋_GB2312"/>
                <w:b w:val="0"/>
                <w:color w:val="000000"/>
                <w:sz w:val="32"/>
              </w:rPr>
              <w:t>乔双庆（民营，龙马控股）</w:t>
            </w:r>
          </w:p>
        </w:tc>
      </w:tr>
      <w:tr>
        <w:tc>
          <w:tcPr>
            <w:tcW w:type="dxa" w:w="2551"/>
          </w:tcPr>
          <w:p>
            <w:pPr>
              <w:spacing w:lineRule="exact" w:line="600"/>
              <w:jc w:val="center"/>
            </w:pPr>
            <w:r/>
            <w:r>
              <w:rPr>
                <w:rFonts w:ascii="仿宋_GB2312" w:hAnsi="仿宋_GB2312" w:eastAsia="仿宋_GB2312"/>
                <w:b w:val="0"/>
                <w:color w:val="000000"/>
                <w:sz w:val="32"/>
              </w:rPr>
              <w:t>资产总额</w:t>
            </w:r>
          </w:p>
        </w:tc>
        <w:tc>
          <w:tcPr>
            <w:tcW w:type="dxa" w:w="6236"/>
          </w:tcPr>
          <w:p>
            <w:pPr>
              <w:spacing w:lineRule="exact" w:line="600"/>
              <w:jc w:val="center"/>
            </w:pPr>
            <w:r/>
            <w:r>
              <w:rPr>
                <w:rFonts w:ascii="仿宋_GB2312" w:hAnsi="仿宋_GB2312" w:eastAsia="仿宋_GB2312"/>
                <w:b w:val="0"/>
                <w:color w:val="000000"/>
                <w:sz w:val="32"/>
              </w:rPr>
              <w:t>约800,000（报道口径）</w:t>
            </w:r>
          </w:p>
        </w:tc>
      </w:tr>
      <w:tr>
        <w:tc>
          <w:tcPr>
            <w:tcW w:type="dxa" w:w="2551"/>
          </w:tcPr>
          <w:p>
            <w:pPr>
              <w:spacing w:lineRule="exact" w:line="600"/>
              <w:jc w:val="center"/>
            </w:pPr>
            <w:r/>
            <w:r>
              <w:rPr>
                <w:rFonts w:ascii="仿宋_GB2312" w:hAnsi="仿宋_GB2312" w:eastAsia="仿宋_GB2312"/>
                <w:b w:val="0"/>
                <w:color w:val="000000"/>
                <w:sz w:val="32"/>
              </w:rPr>
              <w:t>风电铸件产能</w:t>
            </w:r>
          </w:p>
        </w:tc>
        <w:tc>
          <w:tcPr>
            <w:tcW w:type="dxa" w:w="6236"/>
          </w:tcPr>
          <w:p>
            <w:pPr>
              <w:spacing w:lineRule="exact" w:line="600"/>
              <w:jc w:val="center"/>
            </w:pPr>
            <w:r/>
            <w:r>
              <w:rPr>
                <w:rFonts w:ascii="仿宋_GB2312" w:hAnsi="仿宋_GB2312" w:eastAsia="仿宋_GB2312"/>
                <w:b w:val="0"/>
                <w:color w:val="000000"/>
                <w:sz w:val="32"/>
              </w:rPr>
              <w:t>30万吨/年</w:t>
            </w:r>
          </w:p>
        </w:tc>
      </w:tr>
      <w:tr>
        <w:tc>
          <w:tcPr>
            <w:tcW w:type="dxa" w:w="2551"/>
          </w:tcPr>
          <w:p>
            <w:pPr>
              <w:spacing w:lineRule="exact" w:line="600"/>
              <w:jc w:val="center"/>
            </w:pPr>
            <w:r/>
            <w:r>
              <w:rPr>
                <w:rFonts w:ascii="仿宋_GB2312" w:hAnsi="仿宋_GB2312" w:eastAsia="仿宋_GB2312"/>
                <w:b w:val="0"/>
                <w:color w:val="000000"/>
                <w:sz w:val="32"/>
              </w:rPr>
              <w:t>风电结构件</w:t>
            </w:r>
          </w:p>
        </w:tc>
        <w:tc>
          <w:tcPr>
            <w:tcW w:type="dxa" w:w="6236"/>
          </w:tcPr>
          <w:p>
            <w:pPr>
              <w:spacing w:lineRule="exact" w:line="600"/>
              <w:jc w:val="center"/>
            </w:pPr>
            <w:r/>
            <w:r>
              <w:rPr>
                <w:rFonts w:ascii="仿宋_GB2312" w:hAnsi="仿宋_GB2312" w:eastAsia="仿宋_GB2312"/>
                <w:b w:val="0"/>
                <w:color w:val="000000"/>
                <w:sz w:val="32"/>
              </w:rPr>
              <w:t>3,000套/年</w:t>
            </w:r>
          </w:p>
        </w:tc>
      </w:tr>
      <w:tr>
        <w:tc>
          <w:tcPr>
            <w:tcW w:type="dxa" w:w="2551"/>
          </w:tcPr>
          <w:p>
            <w:pPr>
              <w:spacing w:lineRule="exact" w:line="600"/>
              <w:jc w:val="center"/>
            </w:pPr>
            <w:r/>
            <w:r>
              <w:rPr>
                <w:rFonts w:ascii="仿宋_GB2312" w:hAnsi="仿宋_GB2312" w:eastAsia="仿宋_GB2312"/>
                <w:b w:val="0"/>
                <w:color w:val="000000"/>
                <w:sz w:val="32"/>
              </w:rPr>
              <w:t>员工人数</w:t>
            </w:r>
          </w:p>
        </w:tc>
        <w:tc>
          <w:tcPr>
            <w:tcW w:type="dxa" w:w="6236"/>
          </w:tcPr>
          <w:p>
            <w:pPr>
              <w:spacing w:lineRule="exact" w:line="600"/>
              <w:jc w:val="center"/>
            </w:pPr>
            <w:r/>
            <w:r>
              <w:rPr>
                <w:rFonts w:ascii="仿宋_GB2312" w:hAnsi="仿宋_GB2312" w:eastAsia="仿宋_GB2312"/>
                <w:b w:val="0"/>
                <w:color w:val="000000"/>
                <w:sz w:val="32"/>
              </w:rPr>
              <w:t>约2,984—3,000人</w:t>
            </w:r>
          </w:p>
        </w:tc>
      </w:tr>
      <w:tr>
        <w:tc>
          <w:tcPr>
            <w:tcW w:type="dxa" w:w="2551"/>
          </w:tcPr>
          <w:p>
            <w:pPr>
              <w:spacing w:lineRule="exact" w:line="600"/>
              <w:jc w:val="center"/>
            </w:pPr>
            <w:r/>
            <w:r>
              <w:rPr>
                <w:rFonts w:ascii="仿宋_GB2312" w:hAnsi="仿宋_GB2312" w:eastAsia="仿宋_GB2312"/>
                <w:b w:val="0"/>
                <w:color w:val="000000"/>
                <w:sz w:val="32"/>
              </w:rPr>
              <w:t>国内市场占有率</w:t>
            </w:r>
          </w:p>
        </w:tc>
        <w:tc>
          <w:tcPr>
            <w:tcW w:type="dxa" w:w="6236"/>
          </w:tcPr>
          <w:p>
            <w:pPr>
              <w:spacing w:lineRule="exact" w:line="600"/>
              <w:jc w:val="center"/>
            </w:pPr>
            <w:r/>
            <w:r>
              <w:rPr>
                <w:rFonts w:ascii="仿宋_GB2312" w:hAnsi="仿宋_GB2312" w:eastAsia="仿宋_GB2312"/>
                <w:b w:val="0"/>
                <w:color w:val="000000"/>
                <w:sz w:val="32"/>
              </w:rPr>
              <w:t>30%以上（风电铸件）</w:t>
            </w:r>
          </w:p>
        </w:tc>
      </w:tr>
      <w:tr>
        <w:tc>
          <w:tcPr>
            <w:tcW w:type="dxa" w:w="2551"/>
          </w:tcPr>
          <w:p>
            <w:pPr>
              <w:spacing w:lineRule="exact" w:line="600"/>
              <w:jc w:val="center"/>
            </w:pPr>
            <w:r/>
            <w:r>
              <w:rPr>
                <w:rFonts w:ascii="仿宋_GB2312" w:hAnsi="仿宋_GB2312" w:eastAsia="仿宋_GB2312"/>
                <w:b w:val="0"/>
                <w:color w:val="000000"/>
                <w:sz w:val="32"/>
              </w:rPr>
              <w:t>营收/利润</w:t>
            </w:r>
          </w:p>
        </w:tc>
        <w:tc>
          <w:tcPr>
            <w:tcW w:type="dxa" w:w="6236"/>
          </w:tcPr>
          <w:p>
            <w:pPr>
              <w:spacing w:lineRule="exact" w:line="600"/>
              <w:jc w:val="center"/>
            </w:pPr>
            <w:r/>
            <w:r>
              <w:rPr>
                <w:rFonts w:ascii="仿宋_GB2312" w:hAnsi="仿宋_GB2312" w:eastAsia="仿宋_GB2312"/>
                <w:b w:val="0"/>
                <w:color w:val="000000"/>
                <w:sz w:val="32"/>
              </w:rPr>
              <w:t>未公开披露</w:t>
            </w:r>
          </w:p>
        </w:tc>
      </w:tr>
    </w:tbl>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财务数据未公开披露。风电铸件行业毛利受生铁、废钢、能源价格及风电装机周期影响；公司作为单项冠军、规模第一，规模经济与高端产品（如海上14MW轮毂）占比支撑较好盈利，但重资产、高能耗属性使盈利波动较大。</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资产规模近80亿元（报道口径），重资产属性明显，固定资产（铸造车间、机床、厂房）与存货（在制品、铸件）占比较高；专利89项、CNAS实验室等无形资产构成技术壁垒。</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无公开负债数据。公司规模大、资产扎实，但重资产扩张（产业园、新基地）带来资本开支与偿债压力；授信前需核查有息负债、对外担保与关联资金往来。</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无公开现金流数据。大型铸件生产周期长、存货与应收占款高，叠加原料与能源价格波动，经营性现金流稳定性弱于利润，建议以集团合并口径跟踪。</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与国内风电铸件企业相比，国创精密以“30万吨产能、国内第一、市占率30%以上、单项冠军”处于绝对领先；研发强度5.5%以上、技术人员400余人、100余项知识产权，技术壁垒突出；客户覆盖全球风电巨头，产业链最完整。</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其他有限责任公司，设法定代表人/总经理（贾从刚）及经营管理层；作为龙马控股集团全资子公司，重大事项由集团统筹。民营机制下决策高效，但须规范治理与内控以匹配大客户（西门子、GE等）供应链要求。</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法定代表人/总经理贾从刚（亦为龙马控股股东之一）；总经理王有全（公开采访代表，主导生产经营）。管理团队深耕风电铸造，引进西班牙JOSEBA、德国Minkner等国际专家任技术/质量总监。</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通过ISO9001、ISO14001、OHSAS18001、DNVGL厂认证与CNAS实验室认证，建立系统化管理、标准化作业体系；作为特种设备制造企业，安全与质量内控为重中之重。</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员工约3,000人（参保2,984人），规模大型；技术人员400余人、研发团队150余人，含西班牙、德国外籍专家；与高校定向培养、产学研合作，建有国家博士后科研工作站、省博士创新实践基地。</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规模与产业链壁垒：年产能风电铸件30万吨、结构件3,000套，国内第一、市占率30%以上，且具备从模具到涂装的全产业链，规模与协同优势无可替代。二是技术与资质：国家制造业单项冠军、专精特新“小巨人”、高新技术企业，海上14MW超大型轮毂铸造技术国际先进，专利89项、CNAS实验室。三是客户壁垒：深度绑定金风、远景、西门子、维斯塔斯、GE、中车、东方电气等全球巨头，合格供应商资质构成高准入门槛。四是研发与人才：研发强度5.5%以上、外籍专家领衔、博士后工作站，持续迭代大型铸件技术。五是区域与政策：山东省风电产业联盟链主、纳入省海上风电装备白皮书，政策与集群协同突出。</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0" w:after="0"/>
        <w:ind w:firstLine="420"/>
        <w:jc w:val="both"/>
      </w:pPr>
      <w:r>
        <w:rPr>
          <w:rFonts w:ascii="仿宋_GB2312" w:hAnsi="仿宋_GB2312" w:eastAsia="仿宋_GB2312"/>
          <w:b w:val="0"/>
          <w:color w:val="000000"/>
          <w:sz w:val="32"/>
        </w:rPr>
        <w:t>一是行业周期风险：风电装机受政策与电价影响波动，直接决定铸件需求；应对为拓展海外与多客户分散。二是原料与能源风险：生铁、废钢、电力价格影响成本，高能耗属性使盈利敏感；应对为工艺节能与锁价。三是客户与回款风险：大客户集中、回款周期长，公开显示存在一定司法/涉诉记录（裁判文书、开庭公告），需强化合同与应收管理。四是安全环保风险：铸造属高能耗、环保重点行业，排放与能耗双控压力大，须持续合规投入。五是扩张风险：产业园与新基地产能释放需匹配需求，存在产能消化与资金压力。</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保理业务：对金风、远景、西门子、GE等国内外大客户的应收账款账期较长，可开展保理融资盘活资金。供应链金融：依托链主地位，为上游生铁/废钢/合金供应商、下游中小配套企业提供订单融资、存货质押与票据贴现，形成批量资产。融资租赁：铸造机床、加工中心、起重设备等大型装备适合直租/回租，支撑产能与技改。小贷：面向中小配套供应商短贷。国创精密资产扎实（近80亿元）、资质优良、客户顶级，是优质重点客户，建议以“大客户应收保理+设备融资租赁+供应链金融”组合切入，并关注负债、现金流与回款风险。</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评价：山东国创精密机械有限公司是惠民县高端装备集群的链主企业、国内风电铸件规模第一的单项冠军，全产业链、技术与客户壁垒突出，资产扎实、资质完备；但重资产高能耗、财务透明度有限、存在一定涉诉与回款风险。发展展望：据行业趋势与公司规划，海上风电（14MW+）与全球能源转型支撑风电铸件需求，公司计划到2033年建成国内海上风电行业标杆园区，向研发、检测、运维、港口服务与教育培训一体化集群迈进，成长空间明确。建议：一是对接大客户应收保理与设备融资租赁；二是以链主地位开展供应链金融，服务上下游形成批量资产；三是授信前补充规范财务资料、评估负债与现金流；四是关注风电周期、安全环保合规与回款风险，设置动态监测。</w:t>
      </w:r>
    </w:p>
    <w:p>
      <w:pPr>
        <w:spacing w:lineRule="exact" w:line="600" w:before="0" w:after="0"/>
        <w:jc w:val="left"/>
      </w:pPr>
      <w:r>
        <w:rPr>
          <w:rFonts w:ascii="仿宋_GB2312" w:hAnsi="仿宋_GB2312" w:eastAsia="仿宋_GB2312"/>
          <w:b w:val="0"/>
          <w:color w:val="000000"/>
          <w:sz w:val="28"/>
        </w:rPr>
        <w:t>数据来源说明：天眼查/爱企查/企查查/启信宝（工商、股权、资质、专利、参保）、滨州市政府官网（风电产业联盟链主、省海上风电装备白皮书）、惠民县政协/滨州日报报道（产能30万吨、市占率30%以上、资产近80亿）、中国铸造协会/铸造头条（单项冠军、全产业链、客户）、公司官网sdgckg.com（产业与设备）。财务数据未公开披露，已如实标注。</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