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新泰市输变电智能制造特色产业集群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特变电工山东鲁能泰山电缆有限公司企业分析报告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水滴信用/企查查公开数据、百度百科及特变电工股份有限公司（600089.SH）公开资料、新泰市政府/税务公开报道。特变电工山东鲁能泰山电缆有限公司为特变电工电气装备集团有限公司控股（92.8885%）、华能泰山电力有限公司参股（7.1115%）的输变电装备企业，其单独财务数据仅在公开报道中部分披露（2023、2024年），已如实标注并说明数据口径。）</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特变电工山东鲁能泰山电缆有限公司成立于2003年8月25日，统一社会信用代码为913709827535279070，法定代表人秦天，注册资本126,556万元人民币，企业类型为其他有限责任公司。注册地址位于山东省新泰市莲汶路88号，登记机关为新泰市市场监督管理局，经营状态为存续（在营）。公司经营范围包括：电线、电缆制造；电气安装服务；输电、供电、受电电力设施的安装、维修和试验；建设工程施工；电子专用材料制造与销售；电力设施器材制造与销售；货物进出口等。参保人数1,321人（2025年），人员规模1,000—4,999人。</w:t>
      </w:r>
    </w:p>
    <w:p>
      <w:pPr>
        <w:spacing w:lineRule="exact" w:line="600" w:before="0" w:after="0"/>
        <w:ind w:firstLine="420"/>
        <w:jc w:val="both"/>
      </w:pPr>
      <w:r>
        <w:rPr>
          <w:rFonts w:ascii="仿宋_GB2312" w:hAnsi="仿宋_GB2312" w:eastAsia="仿宋_GB2312"/>
          <w:b w:val="0"/>
          <w:color w:val="000000"/>
          <w:sz w:val="32"/>
        </w:rPr>
        <w:t>股权结构：公司由特变电工电气装备集团有限公司持股92.8885%（其由特变电工股份有限公司100%持股）、华能泰山电力有限公司持股7.1115%（其由华能能源交通产业控股有限公司等持股，华能体系为中央企业）共同出资设立。因此公司控股股东为特变电工（民营控股的A股上市公司，600089.SH），同时引入央企华能作为战略 minority 股东，形成“民营龙头+央企协同”的股权结构。</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隶属于特变电工股份有限公司（600089.SH）输变电装备板块，是国内重要的电线电缆研发制造企业。历史上曾对外投资特变电工昭和（山东）电缆附件有限公司（持股65%）、新泰市特变电工鲁缆能源动力有限公司（持股90%，已注销）等，并参与组建产业生态。公司在四川德阳、新疆、重庆等地设有分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公司前身为1950年建立的山东电缆厂，具有七十余年电线电缆制造底蕴；2003年改制重组后形成现有架构（特变电工入主）；经多年发展具备0.4kV—750kV全系列电线电缆研发制造能力，形成“一塔九线”工艺布局和超高压电缆系统集成技术；2022年获评山东省技术创新示范企业和第四批制造业单项冠军示范企业；2025年11月获评第十届山东省省长质量奖。</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超高压电缆及输变电系统集成服务商”，主营业务为电线电缆（尤其高压/超高压电力电缆及附件）的研发、制造与系统集成，并提供“500kV超高压电缆+附件+施工+竣工试验+运维”系统一体化服务，是新泰市输变电智能制造特色产业集群的链主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电力电缆（尤其高压/超高压交联电缆）及电缆附件为主，并延伸至电力设施器材、电子材料、金属加工与工程服务。据公开报道，2023年实现营业收入约66.22亿元，2024年净利润约2.45亿元，电缆主业占绝对主导。具体分产品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0.4kV—750kV全系列电力电缆（交联聚乙烯绝缘电力电缆、海底电缆等）、电缆附件（终端、接头）、导线及裸电线、电力设施器材等；服务方面提供电缆敷设施工、竣工试验与运维一体化解决方案，具备超高压电缆系统总包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下游客户为电网公司（国网、南网）、大型发电企业、新能源开发商及工矿企业。公司产品应用于昌吉—古泉±1100kV直流、白鹤滩—浙江±800kV特高压直流输电工程等30余项国家重点工程，客户资质高、订单稳定。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主要采购为铜、铝等大宗原材料及绝缘料、护套料，成本受铜铝价格影响显著；采用行业通用的“铜/铝价+加工费”定价模式管理价格风险。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公司具备0.4kV—750kV全系列研发制造能力、“一塔九线”工艺布局及超高压电缆系统集成技术；持有ISO 9001、ISO 14001、CCC电线电缆认证及高新技术企业证书；2023年通过国家安全生产标准化（一级）现场评审，获国家绿色工厂、全国五一劳动奖状等称号；累计专利248项，参与制修订国家标准37项、行业标准12项。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销售以面向电网与大型能源企业的直销投标为主，依托特变电工全国统一营销与工程服务体系，并提供“产品+施工+运维”一体化交付。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2023年营业收入约66.22亿元、净利润约1.56亿元；2024年资产总额约57.43亿元、净利润约2.45亿元。公司是国家制造业单项冠军、山东省省长质量奖企业，在超高压电缆领域占据国内前列地位；具体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118"/>
          </w:tcPr>
          <w:p>
            <w:pPr>
              <w:spacing w:lineRule="exact" w:line="600"/>
              <w:jc w:val="center"/>
            </w:pPr>
            <w:r/>
            <w:r>
              <w:rPr>
                <w:rFonts w:ascii="黑体" w:hAnsi="黑体" w:eastAsia="黑体"/>
                <w:b/>
                <w:color w:val="000000"/>
                <w:sz w:val="32"/>
              </w:rPr>
              <w:t>指标（公司披露口径）</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c>
          <w:tcPr>
            <w:tcW w:type="dxa" w:w="1984"/>
          </w:tcPr>
          <w:p>
            <w:pPr>
              <w:spacing w:lineRule="exact" w:line="600"/>
              <w:jc w:val="center"/>
            </w:pPr>
            <w:r/>
            <w:r>
              <w:rPr>
                <w:rFonts w:ascii="黑体" w:hAnsi="黑体" w:eastAsia="黑体"/>
                <w:b/>
                <w:color w:val="000000"/>
                <w:sz w:val="32"/>
              </w:rPr>
              <w:t>2025年</w:t>
            </w:r>
          </w:p>
        </w:tc>
      </w:tr>
      <w:tr>
        <w:tc>
          <w:tcPr>
            <w:tcW w:type="dxa" w:w="3118"/>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66.22</w:t>
            </w:r>
          </w:p>
        </w:tc>
        <w:tc>
          <w:tcPr>
            <w:tcW w:type="dxa" w:w="1984"/>
          </w:tcPr>
          <w:p>
            <w:pPr>
              <w:spacing w:lineRule="exact" w:line="600"/>
              <w:jc w:val="center"/>
            </w:pPr>
            <w:r/>
            <w:r>
              <w:rPr>
                <w:rFonts w:ascii="仿宋_GB2312" w:hAnsi="仿宋_GB2312" w:eastAsia="仿宋_GB2312"/>
                <w:b w:val="0"/>
                <w:color w:val="000000"/>
                <w:sz w:val="32"/>
              </w:rPr>
              <w:t>未单独披露</w:t>
            </w:r>
          </w:p>
        </w:tc>
        <w:tc>
          <w:tcPr>
            <w:tcW w:type="dxa" w:w="1984"/>
          </w:tcPr>
          <w:p>
            <w:pPr>
              <w:spacing w:lineRule="exact" w:line="600"/>
              <w:jc w:val="center"/>
            </w:pPr>
            <w:r/>
            <w:r>
              <w:rPr>
                <w:rFonts w:ascii="仿宋_GB2312" w:hAnsi="仿宋_GB2312" w:eastAsia="仿宋_GB2312"/>
                <w:b w:val="0"/>
                <w:color w:val="000000"/>
                <w:sz w:val="32"/>
              </w:rPr>
              <w:t>未检索到</w:t>
            </w:r>
          </w:p>
        </w:tc>
      </w:tr>
      <w:tr>
        <w:tc>
          <w:tcPr>
            <w:tcW w:type="dxa" w:w="3118"/>
          </w:tcPr>
          <w:p>
            <w:pPr>
              <w:spacing w:lineRule="exact" w:line="600"/>
              <w:jc w:val="center"/>
            </w:pPr>
            <w:r/>
            <w:r>
              <w:rPr>
                <w:rFonts w:ascii="仿宋_GB2312" w:hAnsi="仿宋_GB2312" w:eastAsia="仿宋_GB2312"/>
                <w:b w:val="0"/>
                <w:color w:val="000000"/>
                <w:sz w:val="32"/>
              </w:rPr>
              <w:t>归母净利润（亿元）</w:t>
            </w:r>
          </w:p>
        </w:tc>
        <w:tc>
          <w:tcPr>
            <w:tcW w:type="dxa" w:w="1984"/>
          </w:tcPr>
          <w:p>
            <w:pPr>
              <w:spacing w:lineRule="exact" w:line="600"/>
              <w:jc w:val="center"/>
            </w:pPr>
            <w:r/>
            <w:r>
              <w:rPr>
                <w:rFonts w:ascii="仿宋_GB2312" w:hAnsi="仿宋_GB2312" w:eastAsia="仿宋_GB2312"/>
                <w:b w:val="0"/>
                <w:color w:val="000000"/>
                <w:sz w:val="32"/>
              </w:rPr>
              <w:t>1.56</w:t>
            </w:r>
          </w:p>
        </w:tc>
        <w:tc>
          <w:tcPr>
            <w:tcW w:type="dxa" w:w="1984"/>
          </w:tcPr>
          <w:p>
            <w:pPr>
              <w:spacing w:lineRule="exact" w:line="600"/>
              <w:jc w:val="center"/>
            </w:pPr>
            <w:r/>
            <w:r>
              <w:rPr>
                <w:rFonts w:ascii="仿宋_GB2312" w:hAnsi="仿宋_GB2312" w:eastAsia="仿宋_GB2312"/>
                <w:b w:val="0"/>
                <w:color w:val="000000"/>
                <w:sz w:val="32"/>
              </w:rPr>
              <w:t>2.45</w:t>
            </w:r>
          </w:p>
        </w:tc>
        <w:tc>
          <w:tcPr>
            <w:tcW w:type="dxa" w:w="1984"/>
          </w:tcPr>
          <w:p>
            <w:pPr>
              <w:spacing w:lineRule="exact" w:line="600"/>
              <w:jc w:val="center"/>
            </w:pPr>
            <w:r/>
            <w:r>
              <w:rPr>
                <w:rFonts w:ascii="仿宋_GB2312" w:hAnsi="仿宋_GB2312" w:eastAsia="仿宋_GB2312"/>
                <w:b w:val="0"/>
                <w:color w:val="000000"/>
                <w:sz w:val="32"/>
              </w:rPr>
              <w:t>未检索到</w:t>
            </w:r>
          </w:p>
        </w:tc>
      </w:tr>
      <w:tr>
        <w:tc>
          <w:tcPr>
            <w:tcW w:type="dxa" w:w="3118"/>
          </w:tcPr>
          <w:p>
            <w:pPr>
              <w:spacing w:lineRule="exact" w:line="600"/>
              <w:jc w:val="center"/>
            </w:pPr>
            <w:r/>
            <w:r>
              <w:rPr>
                <w:rFonts w:ascii="仿宋_GB2312" w:hAnsi="仿宋_GB2312" w:eastAsia="仿宋_GB2312"/>
                <w:b w:val="0"/>
                <w:color w:val="000000"/>
                <w:sz w:val="32"/>
              </w:rPr>
              <w:t>资产总额（亿元）</w:t>
            </w:r>
          </w:p>
        </w:tc>
        <w:tc>
          <w:tcPr>
            <w:tcW w:type="dxa" w:w="1984"/>
          </w:tcPr>
          <w:p>
            <w:pPr>
              <w:spacing w:lineRule="exact" w:line="600"/>
              <w:jc w:val="center"/>
            </w:pPr>
            <w:r/>
            <w:r>
              <w:rPr>
                <w:rFonts w:ascii="仿宋_GB2312" w:hAnsi="仿宋_GB2312" w:eastAsia="仿宋_GB2312"/>
                <w:b w:val="0"/>
                <w:color w:val="000000"/>
                <w:sz w:val="32"/>
              </w:rPr>
              <w:t>未披露</w:t>
            </w:r>
          </w:p>
        </w:tc>
        <w:tc>
          <w:tcPr>
            <w:tcW w:type="dxa" w:w="1984"/>
          </w:tcPr>
          <w:p>
            <w:pPr>
              <w:spacing w:lineRule="exact" w:line="600"/>
              <w:jc w:val="center"/>
            </w:pPr>
            <w:r/>
            <w:r>
              <w:rPr>
                <w:rFonts w:ascii="仿宋_GB2312" w:hAnsi="仿宋_GB2312" w:eastAsia="仿宋_GB2312"/>
                <w:b w:val="0"/>
                <w:color w:val="000000"/>
                <w:sz w:val="32"/>
              </w:rPr>
              <w:t>57.43</w:t>
            </w:r>
          </w:p>
        </w:tc>
        <w:tc>
          <w:tcPr>
            <w:tcW w:type="dxa" w:w="1984"/>
          </w:tcPr>
          <w:p>
            <w:pPr>
              <w:spacing w:lineRule="exact" w:line="600"/>
              <w:jc w:val="center"/>
            </w:pPr>
            <w:r/>
            <w:r>
              <w:rPr>
                <w:rFonts w:ascii="仿宋_GB2312" w:hAnsi="仿宋_GB2312" w:eastAsia="仿宋_GB2312"/>
                <w:b w:val="0"/>
                <w:color w:val="000000"/>
                <w:sz w:val="32"/>
              </w:rPr>
              <w:t>未检索到</w:t>
            </w:r>
          </w:p>
        </w:tc>
      </w:tr>
      <w:tr>
        <w:tc>
          <w:tcPr>
            <w:tcW w:type="dxa" w:w="3118"/>
          </w:tcPr>
          <w:p>
            <w:pPr>
              <w:spacing w:lineRule="exact" w:line="600"/>
              <w:jc w:val="center"/>
            </w:pPr>
            <w:r/>
            <w:r>
              <w:rPr>
                <w:rFonts w:ascii="仿宋_GB2312" w:hAnsi="仿宋_GB2312" w:eastAsia="仿宋_GB2312"/>
                <w:b w:val="0"/>
                <w:color w:val="000000"/>
                <w:sz w:val="32"/>
              </w:rPr>
              <w:t>备注</w:t>
            </w:r>
          </w:p>
        </w:tc>
        <w:tc>
          <w:tcPr>
            <w:tcW w:type="dxa" w:w="1984"/>
          </w:tcPr>
          <w:p>
            <w:pPr>
              <w:spacing w:lineRule="exact" w:line="600"/>
              <w:jc w:val="center"/>
            </w:pPr>
            <w:r/>
            <w:r>
              <w:rPr>
                <w:rFonts w:ascii="仿宋_GB2312" w:hAnsi="仿宋_GB2312" w:eastAsia="仿宋_GB2312"/>
                <w:b w:val="0"/>
                <w:color w:val="000000"/>
                <w:sz w:val="32"/>
              </w:rPr>
              <w:t>公开报道披露</w:t>
            </w:r>
          </w:p>
        </w:tc>
        <w:tc>
          <w:tcPr>
            <w:tcW w:type="dxa" w:w="1984"/>
          </w:tcPr>
          <w:p>
            <w:pPr>
              <w:spacing w:lineRule="exact" w:line="600"/>
              <w:jc w:val="center"/>
            </w:pPr>
            <w:r/>
            <w:r>
              <w:rPr>
                <w:rFonts w:ascii="仿宋_GB2312" w:hAnsi="仿宋_GB2312" w:eastAsia="仿宋_GB2312"/>
                <w:b w:val="0"/>
                <w:color w:val="000000"/>
                <w:sz w:val="32"/>
              </w:rPr>
              <w:t>公开报道披露</w:t>
            </w:r>
          </w:p>
        </w:tc>
        <w:tc>
          <w:tcPr>
            <w:tcW w:type="dxa" w:w="1984"/>
          </w:tcPr>
          <w:p>
            <w:pPr>
              <w:spacing w:lineRule="exact" w:line="600"/>
              <w:jc w:val="center"/>
            </w:pPr>
            <w:r/>
            <w:r>
              <w:rPr>
                <w:rFonts w:ascii="仿宋_GB2312" w:hAnsi="仿宋_GB2312" w:eastAsia="仿宋_GB2312"/>
                <w:b w:val="0"/>
                <w:color w:val="000000"/>
                <w:sz w:val="32"/>
              </w:rPr>
              <w:t>数据缺失</w:t>
            </w:r>
          </w:p>
        </w:tc>
      </w:tr>
    </w:tbl>
    <w:p>
      <w:pPr>
        <w:spacing w:lineRule="exact" w:line="600" w:before="0" w:after="0"/>
        <w:jc w:val="left"/>
      </w:pPr>
      <w:r>
        <w:rPr>
          <w:rFonts w:ascii="仿宋_GB2312" w:hAnsi="仿宋_GB2312" w:eastAsia="仿宋_GB2312"/>
          <w:b w:val="0"/>
          <w:color w:val="000000"/>
          <w:sz w:val="28"/>
        </w:rPr>
        <w:t>注：上表为公司仅在公开报道中部分披露的财务数据（来源：百度百科及新泰市公开报道），非完整年度报告口径；2025年数据未检索到，已如实标注。完整三张报表数据未公开披露，故未列示毛利率、资产负债率、经营现金流等科目，以避免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据披露，公司净利润由2023年约1.56亿元增至2024年约2.45亿元，盈利能力提升，主因超高压电缆及系统工程高附加值业务占比提升、成本费用管控改善。具体毛利率未公开披露，但作为制造业单项冠军，盈利质量应优于普通电缆企业。</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2024年末资产总额约57.43亿元，资产规模大；公司作为重资产制造企业，固定资产（厂房、立塔、产线）占比高，资产质量总体稳健。具体资产结构未公开披露。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负债与偿债能力数据未公开披露。公司引入央企华能作为 minority 股东，且为特变电工体系内核心企业，整体信用风险较低。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完整财务缺失，以定性说明：相较新泰集群内金恒电气（高低压开关柜，规模较小）、赛特电工（漆包线，营收约5亿），特变电工鲁能泰山电缆是集群内体量最大、技术等级最高的链主企业（营收逾60亿、750kV全系列），在超高压电缆领域具显著领先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公司为其他有限责任公司，设董事会（含董事刘军、监事尚涛等）及经营管理机构，治理纳入特变电工股份有限公司统一体系。同时引入华能作为战略股东，治理兼顾民营机制与央企规范。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法定代表人秦天（兼任特变电工昭和（山东）电缆附件有限公司法定代表人）；公司董事包括刘军等，监事尚涛。核心管理层来自特变电工体系。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公司建立规范的法人治理与内控体系，通过ISO 9001/14001、国家安全生产标准化一级等认证；作为特变电工体系企业，执行集团统一的财务、采购、投资与合规管理。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公司参保人数1,321人（2025年），属大型企业用工，涵盖研发、工艺、制造、工程与管理人员；拥有省级企业技术中心与工程技术研究中心，技术人才储备雄厚。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资质壁垒：具备0.4kV—750kV全系列能力、“一塔九线”与超高压系统集成技术，国家制造业单项冠军、省长质量奖，参与37项国标/12项行标制修订。二是系统一体化能力：“电缆+附件+施工+试验+运维”总包，客户黏性强。三是重大工程业绩：服务昌吉—古泉±1100kV等30余项国家重点工程，品牌与业绩壁垒高。四是股东协同：特变电工技术/渠道+华能订单协同。</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材料价格风险：铜铝占成本比重大，价格波动冲击毛利，虽以“铜价+加工费”对冲但难完全消除。二是行业竞争风险：电线电缆行业产能分散、中低端竞争激烈，价格战可能压缩利润。三是财务不透明风险：完整财务未披露，外部对其独立偿债与现金流判断受限。四是客户与项目周期风险：电网投资节奏影响订单，重大工程交付周期长。公司已通过高端化（超高压/附件）、系统总包与成本管控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供应链金融/保理：铜铝采购规模大，可基于真实贸易背景开展原料采购保理及应收账款保理；（二）融资租赁：立塔、挤出机等大型设备投入可观，可通过融资租赁优化资产结构；（三）工程垫资融资：围绕“产品+施工”总包项目的阶段性垫资，提供供应链金融支持；（四）小额贷款：面向上游中小配套供应商提供周转贷款。公司体量大、信用好（且有华能协同），相关业务风险较低，宜重点拓展。</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综合评价：特变电工山东鲁能泰山电缆有限公司是新泰输变电智能制造集群的链主企业，技术等级（750kV全系列）、工程业绩与资质（单项冠军、省长质量奖）均居国内前列，经营规模大、盈利稳健。</w:t>
      </w:r>
    </w:p>
    <w:p>
      <w:pPr>
        <w:spacing w:lineRule="exact" w:line="600" w:before="0" w:after="0"/>
        <w:ind w:firstLine="420"/>
        <w:jc w:val="both"/>
      </w:pPr>
      <w:r>
        <w:rPr>
          <w:rFonts w:ascii="仿宋_GB2312" w:hAnsi="仿宋_GB2312" w:eastAsia="仿宋_GB2312"/>
          <w:b w:val="0"/>
          <w:color w:val="000000"/>
          <w:sz w:val="32"/>
        </w:rPr>
        <w:t>发展展望：特高压与新能源（风光大基地外送、海上风电）建设拉动超高压/海底电缆需求，公司有望持续受益；系统总包模式提升盈利韧性。</w:t>
      </w:r>
    </w:p>
    <w:p>
      <w:pPr>
        <w:spacing w:lineRule="exact" w:line="600" w:before="0" w:after="0"/>
        <w:ind w:firstLine="420"/>
        <w:jc w:val="both"/>
      </w:pPr>
      <w:r>
        <w:rPr>
          <w:rFonts w:ascii="仿宋_GB2312" w:hAnsi="仿宋_GB2312" w:eastAsia="仿宋_GB2312"/>
          <w:b w:val="0"/>
          <w:color w:val="000000"/>
          <w:sz w:val="32"/>
        </w:rPr>
        <w:t>挑战与建议：建议（1）提升财务透明度，便于外部产融合作；（2）把握新能源电缆（如风光储、海上风电）增量；（3）山东投资可优先以供应链金融、融资租赁切入，依托公司强信用开展稳健合作，并带动集群配套企业融资。</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水滴信用及企查查公开数据；股权穿透信息来源于天眼查；经营规模、产能、资质与荣誉信息来源于百度百科、特变电工官网及新泰市政府/税务公开报道；财务部分数据来源于百度百科及公开报道（仅2023、2024年部分披露），2025年数据缺失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