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日照市岚山区高性能橡塑制品特色产业集群</w:t>
      </w:r>
    </w:p>
    <w:p>
      <w:pPr>
        <w:spacing w:lineRule="exact" w:line="600" w:before="240" w:after="240"/>
        <w:ind w:firstLine="0"/>
        <w:jc w:val="center"/>
      </w:pPr>
      <w:r>
        <w:rPr>
          <w:rFonts w:ascii="方正小标宋简体" w:hAnsi="方正小标宋简体" w:eastAsia="方正小标宋简体"/>
          <w:b w:val="0"/>
          <w:color w:val="000000"/>
          <w:sz w:val="44"/>
        </w:rPr>
        <w:t>赛诺化学(山东)有限公司企业分析报告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赛诺化学（山东）有限公司成立于2020年8月6日，法定代表人焦京广，统一社会信用代码91371103MA3TNUQYXQ，企业类型为有限责任公司（自然人投资或控股的法人独资），注册资本1,000万元人民币（实缴1,000万元），注册地址位于山东省日照市岚山宁波路中段，登记机关为日照市岚山区市场监督管理局，经营状态为存续。行业为化学原料和化学制品制造业（专用化学产品制造/化学试剂和助剂制造，C2661），属小微企业。</w:t>
      </w:r>
    </w:p>
    <w:p>
      <w:pPr>
        <w:spacing w:lineRule="exact" w:line="600" w:before="0" w:after="0"/>
        <w:ind w:firstLine="420"/>
        <w:jc w:val="both"/>
      </w:pPr>
      <w:r>
        <w:rPr>
          <w:rFonts w:ascii="仿宋_GB2312" w:hAnsi="仿宋_GB2312" w:eastAsia="仿宋_GB2312"/>
          <w:b w:val="0"/>
          <w:color w:val="000000"/>
          <w:sz w:val="32"/>
        </w:rPr>
        <w:t>股权结构：赛诺（青岛）科技投资控股有限公司持股100%，穿透后受焦京广（持股60%）、陈建红（持股40%）控制，实际控制人为焦京广，属民营控股企业，无国有出资人。公司隶属青岛赛诺集团。</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青岛赛诺集团在日照布局的法人独资企业，设执行董事兼总经理（焦京广）与监事（陈建红），研发、生产、销售职能一体化。建有“聚乙烯蜡”专家工作站、企业技术中心等研发平台，与青岛科技大学成立联合实验室和中试基地。</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2020年8月成立；隶属青岛赛诺集团（集团2017年12月在蓝海股权交易中心挂牌，简称赛诺新材，股权代码800967）。公司先后获高新技术企业、科技型中小企业、科技创新企业、专精特新企业等资质。2023年斥资在日照岚山化工园区打造年产10万吨高端橡塑新材料助剂生产研发基地（项目总投资5.6亿元、占地70亩）；2023年成立赛诺技术研究院（民办非盈利组织）。截至公开报道，项目一期已基本竣工，第一条生产线安装调试完成，累计接单两万余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专业从事橡塑助剂及应用开发的科技型民营企业，岚山新材料产业链延伸关键环节。主营业务为基础化学原料制造（不含危险化学品）、合成材料制造与销售、专用化学产品制造、塑料加工专用设备销售、货物进出口等（2025年5月经营范围新增发电、输电、供配电业务许可）。核心产品为聚乙烯蜡、特种改性蜡、EBS（乙烯基双硬脂酰胺）等润滑、分散系列高端橡塑助剂。</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高端橡塑新材料助剂为核心，产品包括EBS、聚乙烯蜡、硬脂酸盐、可乳化蜡、环保型稳定剂等，应用于新材料行业，终端涵盖汽车、家电、纺织、新能源、航空航天等领域。公司未公开披露分产品收入占比。项目建设期尚未全面投产，当前以试产与接单为主。</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EBS（乙烯基双硬脂酰胺，主要用于ABS树脂行业起润滑分散作用）、聚乙烯蜡、特种改性蜡、硬脂酸盐系列、可乳化蜡、环保型稳定剂等高端橡塑助剂。产品被喻为“工业味精”，用量少但显著提升下游产品性能。</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主要用于新材料行业，终端应用涵盖汽车、家电、PVC建材、热熔胶、油漆、油墨、涂料、沥青改性、防水材料、新能源、航空航天等；已与岚山化工产业园区相关企业初步接洽，未来将本地强强联合、抱团发展；产品出口德国、西班牙、土耳其、马来西亚、越南、韩国等30多个国家和地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生产所需基础化工原料（蜡类原料、脂肪酸、胺类等）为主要采购对象，原料价格随石化行情波动；部分高端原料受进口影响。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岚山化工园区项目总投资5.6亿元、占地70亩，建筑面积约23,713平方米，新上设备314台套，建成后年产高端橡塑新材料助剂10万吨（其中EBS 3万吨/年、聚乙烯蜡1万吨/年、硬脂酸盐1.5万吨/年、可乳化蜡0.5万吨/年、环保型稳定剂3万吨/年），预计产值10亿元、税收4,000万元、新增就业110余人。拥有“聚乙烯蜡”专家工作站、企业技术中心，申请授权国家发明专利6项、实用新型专利21项；为高新技术企业、科技型中小企业、专精特新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以直销对接橡塑新材料企业为主，开展货物进出口；依托青岛科技大学联合实验室与赛诺技术研究院强化应用开发与技术服务；提出“产业链创新联盟、抱团出海”理念。</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公司为非上市企业，尚处项目建设与试产期，财务数据未公开披露，无公开营收、利润及市占率数据。公开报道：项目一期基本竣工、第一条线调试完成，累计接单两万余吨；全面达产后预计年产值10亿元。</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赛诺化学（山东）为非上市企业，项目建设期尚未全面投产，近三年完整财务报表未公开披露，以下仅列公开工商与项目信息，不作财务数据编造。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1,000万元（实缴1,000万元）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2020-08-06</w:t>
            </w:r>
          </w:p>
        </w:tc>
      </w:tr>
      <w:tr>
        <w:tc>
          <w:tcPr>
            <w:tcW w:type="dxa" w:w="2551"/>
          </w:tcPr>
          <w:p>
            <w:pPr>
              <w:spacing w:lineRule="exact" w:line="600"/>
              <w:jc w:val="center"/>
            </w:pPr>
            <w:r/>
            <w:r>
              <w:rPr>
                <w:rFonts w:ascii="仿宋_GB2312" w:hAnsi="仿宋_GB2312" w:eastAsia="仿宋_GB2312"/>
                <w:b w:val="0"/>
                <w:color w:val="000000"/>
                <w:sz w:val="32"/>
              </w:rPr>
              <w:t>项目总投资</w:t>
            </w:r>
          </w:p>
        </w:tc>
        <w:tc>
          <w:tcPr>
            <w:tcW w:type="dxa" w:w="6236"/>
          </w:tcPr>
          <w:p>
            <w:pPr>
              <w:spacing w:lineRule="exact" w:line="600"/>
              <w:jc w:val="center"/>
            </w:pPr>
            <w:r/>
            <w:r>
              <w:rPr>
                <w:rFonts w:ascii="仿宋_GB2312" w:hAnsi="仿宋_GB2312" w:eastAsia="仿宋_GB2312"/>
                <w:b w:val="0"/>
                <w:color w:val="000000"/>
                <w:sz w:val="32"/>
              </w:rPr>
              <w:t>5.6亿元（岚山基地）</w:t>
            </w:r>
          </w:p>
        </w:tc>
      </w:tr>
      <w:tr>
        <w:tc>
          <w:tcPr>
            <w:tcW w:type="dxa" w:w="2551"/>
          </w:tcPr>
          <w:p>
            <w:pPr>
              <w:spacing w:lineRule="exact" w:line="600"/>
              <w:jc w:val="center"/>
            </w:pPr>
            <w:r/>
            <w:r>
              <w:rPr>
                <w:rFonts w:ascii="仿宋_GB2312" w:hAnsi="仿宋_GB2312" w:eastAsia="仿宋_GB2312"/>
                <w:b w:val="0"/>
                <w:color w:val="000000"/>
                <w:sz w:val="32"/>
              </w:rPr>
              <w:t>规划产能</w:t>
            </w:r>
          </w:p>
        </w:tc>
        <w:tc>
          <w:tcPr>
            <w:tcW w:type="dxa" w:w="6236"/>
          </w:tcPr>
          <w:p>
            <w:pPr>
              <w:spacing w:lineRule="exact" w:line="600"/>
              <w:jc w:val="center"/>
            </w:pPr>
            <w:r/>
            <w:r>
              <w:rPr>
                <w:rFonts w:ascii="仿宋_GB2312" w:hAnsi="仿宋_GB2312" w:eastAsia="仿宋_GB2312"/>
                <w:b w:val="0"/>
                <w:color w:val="000000"/>
                <w:sz w:val="32"/>
              </w:rPr>
              <w:t>10万吨/年高端橡塑助剂</w:t>
            </w:r>
          </w:p>
        </w:tc>
      </w:tr>
      <w:tr>
        <w:tc>
          <w:tcPr>
            <w:tcW w:type="dxa" w:w="2551"/>
          </w:tcPr>
          <w:p>
            <w:pPr>
              <w:spacing w:lineRule="exact" w:line="600"/>
              <w:jc w:val="center"/>
            </w:pPr>
            <w:r/>
            <w:r>
              <w:rPr>
                <w:rFonts w:ascii="仿宋_GB2312" w:hAnsi="仿宋_GB2312" w:eastAsia="仿宋_GB2312"/>
                <w:b w:val="0"/>
                <w:color w:val="000000"/>
                <w:sz w:val="32"/>
              </w:rPr>
              <w:t>预计产值</w:t>
            </w:r>
          </w:p>
        </w:tc>
        <w:tc>
          <w:tcPr>
            <w:tcW w:type="dxa" w:w="6236"/>
          </w:tcPr>
          <w:p>
            <w:pPr>
              <w:spacing w:lineRule="exact" w:line="600"/>
              <w:jc w:val="center"/>
            </w:pPr>
            <w:r/>
            <w:r>
              <w:rPr>
                <w:rFonts w:ascii="仿宋_GB2312" w:hAnsi="仿宋_GB2312" w:eastAsia="仿宋_GB2312"/>
                <w:b w:val="0"/>
                <w:color w:val="000000"/>
                <w:sz w:val="32"/>
              </w:rPr>
              <w:t>10亿元/年（达产后）</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未公开披露（建设期）</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财务数据未公开披露。高端橡塑助剂（EBS、聚乙烯蜡）属高附加值“工业味精”，毛利率通常较好，但当前处建设投产期，盈利尚未充分释放。</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无公开资产数据。重研发与设备投入，固定资产（产线）与无形资产（专利、专家工作站）为主；5.6亿元项目资本开支大。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无公开负债数据。项目建设期资本开支大，预计依赖股东出资与银行融资，需关注杠杆与偿债能力。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无公开现金流数据。项目建设与研发需持续资金投入，关注经营性现金流转正节奏。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与青岛赛诺集团一体化看，公司在岚山基地补足了10万吨级高端助剂产能，产品（EBS、聚乙烯蜡）质量据称超国际先进水平、出口30多国，在橡塑助剂细分领域具成长潜力。</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法人独资企业，设执行董事兼总经理（焦京广）与监事（陈建红），治理简洁，重大事项由股东赛诺（青岛）科技投资控股有限公司决定。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法定代表人、执行董事兼总经理焦京广（集团董事长，穿透控制人）；监事陈建红。副总经理冯涛等参与对外经营与技术推广。</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化工生产企业，须建立安全生产与环保内控体系；建有企业技术中心与专家工作站，研发与质量管控较规范。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参保人数较少（工商年报口径4—20人，或因建设期），实际项目全面达产将新增就业110余人；与青岛科技大学合作弥补高端研发人力。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壁垒：EBS、聚乙烯蜡等高端橡塑助剂（“工业味精”）技术门槛高，产品质量据称超国际先进水平。二是产能与项目：岚山10万吨级基地衔接岚山化工园及周边产业链，规划产值10亿元。三是研发平台：聚乙烯蜡专家工作站、企业技术中心、青岛科技大学联合实验室、赛诺技术研究院，专利27项。四是出口与客户：产品出口30多国，与本地化工企业强强联合、抱团出海。五是集团背书：隶属青岛赛诺集团（蓝海股权挂牌），资源与渠道协同。</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投产与量产风险：项目一期刚竣工调试，从试产到达产、良率与成本控制存在不确定性。二是原料价格风险：基础化工原料受石化行情波动。三是客户与销售风险：全面达产后需消化10万吨产能，订单消化与回款是关键。四是安全环保风险（重点）：化工生产涉及安全环保合规，须持续投入。五是资金风险：5.6亿元项目资本开支大，盈利尚未释放，现金流承压。</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橡塑新材料企业的应收账款可开展保理。供应链金融：围绕核心客户做订单融资。融资租赁：岚山基地314台套设备及后续产线适合直租/回租，支撑产能爬坡（此为最契合切入点）。小贷：面向临时周转。赛诺化学为岚山新材料产业链关键环节、政策契合、出口背书的高成长标的，建议以“设备融资租赁+核心客户应收保理”组合切入，并关注项目达产进度与股权稳定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赛诺化学是岚山高性能橡塑集群中聚焦高端橡塑助剂（“工业味精”）的高成长科技型企业，10万吨级岚山基地、出口30多国与技术平台构成优势，但处建设投产期、财务不透明、资本开支大。发展展望：据行业趋势与政策导向，汽车、家电、新能源、航空航天对高端橡塑助剂需求增长，公司达产后成长空间较大。建议：一是对接产线设备融资租赁与核心客户应收保理；二是要求补充规范财务资料并以增信控制风险；三是跟踪量产良率、产能消化与销售回款。</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数据来源说明：天眼查/爱企查/企查查/启信宝（工商、股权、资质、专利）、今日头条/齐鲁网·闪电新闻（赛诺化学“工业味精”报道）、Select Shandong（岚山项目报道）、岚山区政府（重点项目清单）、齐鲁人才网（集团简介）。财务数据未公开披露，已如实标注。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