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曲阜市汽车电子特色产业集群</w:t>
      </w:r>
    </w:p>
    <w:p>
      <w:pPr>
        <w:spacing w:lineRule="exact" w:line="600" w:before="240" w:after="240"/>
        <w:ind w:firstLine="0"/>
        <w:jc w:val="center"/>
      </w:pPr>
      <w:r>
        <w:rPr>
          <w:rFonts w:ascii="方正小标宋简体" w:hAnsi="方正小标宋简体" w:eastAsia="方正小标宋简体"/>
          <w:b w:val="0"/>
          <w:color w:val="000000"/>
          <w:sz w:val="44"/>
        </w:rPr>
        <w:t>天博智能科技(山东)股份有限公司企业分析报告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招股说明书、交易所及证监会公开信息、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天博智能科技（山东）股份有限公司成立于2001年9月13日，法定代表人、董事长为吕亚玮，统一社会信用代码9137088173171148XX，企业类型为其他股份有限公司（非上市，已获IPO注册批复），注册资本9,000万元人民币，注册地址位于山东省济宁市曲阜市经济开发区天博路158号，登记机关为济宁市市场监督管理局，经营状态为存续，人员规模1,000—4,999人，参保人数约1,514人。公司前身为1971年成立的山东省汽车工业集团有限公司直属企业——曲阜汽车配件厂，2001年9月改制为曲阜天博汽车零部件制造有限公司，2024年底整体变更为股份有限公司。</w:t>
      </w:r>
    </w:p>
    <w:p>
      <w:pPr>
        <w:spacing w:lineRule="exact" w:line="600" w:before="0" w:after="0"/>
        <w:ind w:firstLine="420"/>
        <w:jc w:val="both"/>
      </w:pPr>
      <w:r>
        <w:rPr>
          <w:rFonts w:ascii="仿宋_GB2312" w:hAnsi="仿宋_GB2312" w:eastAsia="仿宋_GB2312"/>
          <w:b w:val="0"/>
          <w:color w:val="000000"/>
          <w:sz w:val="32"/>
        </w:rPr>
        <w:t>截至2025年末，公司总资产25.02亿元，归属于母公司所有者的净资产17.48亿元；股权相对分散，为民营控股、无国有出资人。公司已于2026年7月9日获中国证监会首次公开发行股票注册批复（证监许可〔2026〕1643号），拟在上交所主板上市，保荐机构为中信建投证券，预计发行不超过3,000万股、发行后总股本不超过1.2亿股。</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拟上市股份制企业，设董事会、经营管理层及研发中心，下辖温控、传感、电声三大业务板块；前身曲阜天博汽车零部件制造有限公司及关联企业（陆博汽车电子、曲阜天博汽车电器等）共同构成“天博系”汽车零部件集团，分别聚焦传感器、电声等不同细分领域。</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曲阜汽车配件厂始建于1971年，1988年以调温器产品切入上海大众国产化供应链，是国内较早参与乘用车温控零部件国产化的本土企业；2001年完成国企改制；2024年底整体变更为股份有限公司；2025年12月30日IPO获上交所受理，2026年6月12日通过上市审核委员会审议，2026年7月9日获证监会注册批复。公司车用智能调温器获评国家级制造业单项冠军，并获评国家火炬计划重点高新技术企业、山东省企业技术中心、山东省感温元件工程技术研究中心等资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汽车热管理零部件领域核心厂商、国家级制造业单项冠军企业。主营业务聚焦汽车热管理零部件的研发、生产与销售，搭建起温控、传感、电声三大核心业务矩阵：温控类涵盖调温器、智能水阀；传感类涵盖温度传感器；电声类涵盖AVAS汽车低速提示音系统；并配套供应少量汽车弹簧、阀类零部件，满足整车厂一站式采购需求，产品适配燃油、混动及纯电动车型。</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按三大矩阵划分：2025年温控类产品营收占比约60%，传感类产品占比超过20%，电声类产品占比约10%。公司以直销模式为主，直销收入占比高达95%，与主机厂绑定深度较高。公司客户已全面覆盖国内销量前十车企集团，2025年前五大客户合计贡献营收占比42.89%，最大单一客户销售占比15.16%，客户结构较为分散，不存在对单一客户的依赖。</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核心产品包括调温器、智能水阀等温控部件，温度传感器等传感部件，以及AVAS汽车低速提示音系统等电声部件；并配套汽车弹簧、阀类零部件。根据第三方行业数据，2024年公司在国内调温器市场销量和收入均位居第一、全球排名第三；智能水阀和AVAS产品国内收入排名第二，温度传感器排名第四，细分市场优势显著。</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已全面覆盖国内销量前十车企集团，包括比亚迪、上汽集团、吉利控股、中国一汽、长安汽车、奇瑞汽车、东风汽车、北汽集团、广汽集团、长城汽车等头部整车企业，并深度参与主机厂车型同步开发，客户粘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生产所需精密金属件、电子元器件、芯片及塑料粒子等为主要采购对象；部分高端芯片曾受全球汽车芯片短缺影响，公司通过国产芯片替代（如与纳芯微合作）缩短开发周期、保障供应链安全。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持有IATF 16949、ISO 9001等汽车质量体系认证，通过ISO/IEC国家实验室认可；建有山东省企业技术中心、山东省感温元件工程技术研究中心。2025年温度传感器产能利用率达101.29%，智能水阀产线负荷饱满，现有产能难以满足新增订单，扩产迫在眉睫。IPO募投项目总投资约20.57亿元，投向智能热管理部件制造（10.50亿元）、产线智能化改造（7.09亿元）、研发中心（2.21亿元）及数字化升级（0.76亿元）。</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采用以直销为主（占比超94%）的经营模式，深度参与主机厂同步开发；并积极拓展储能电站与AI数据中心液冷系统等跨行业第二增长曲线，构建热管理系统整体解决方案能力。</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招股说明书及公开报道，2023—2025年营业收入分别为12.70亿元、16.93亿元、19.61亿元，年复合增长率24.28%；归母净利润分别为1.12亿元、3.23亿元、3.51亿元，年复合增长率76.93%；2025年综合毛利率29.23%、资产负债率22.85%、扣非净资产收益率22.66%。细分市占率：调温器国内第一、全球第三，智能水阀/AVAS国内第二，温度传感器国内第四。2026年一季度受国内汽车产量下降及主机厂年降影响，营收4.07亿元（同比-6.42%）、归母净利润0.70亿元（同比-2.15%），短期承压。注：上述数据来自IPO招股说明书及公开报道口径。</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天博智能科技（山东）股份有限公司已于2026年7月获IPO注册批复（尚未正式上市），以下财务数据来自招股说明书（申报稿）及公开报道，单位：亿元。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指标</w:t>
            </w:r>
          </w:p>
        </w:tc>
        <w:tc>
          <w:tcPr>
            <w:tcW w:type="dxa" w:w="2154"/>
          </w:tcPr>
          <w:p>
            <w:pPr>
              <w:spacing w:lineRule="exact" w:line="600"/>
              <w:jc w:val="center"/>
            </w:pPr>
            <w:r/>
            <w:r>
              <w:rPr>
                <w:rFonts w:ascii="黑体" w:hAnsi="黑体" w:eastAsia="黑体"/>
                <w:b/>
                <w:color w:val="000000"/>
                <w:sz w:val="32"/>
              </w:rPr>
              <w:t>2023年</w:t>
            </w:r>
          </w:p>
        </w:tc>
        <w:tc>
          <w:tcPr>
            <w:tcW w:type="dxa" w:w="2154"/>
          </w:tcPr>
          <w:p>
            <w:pPr>
              <w:spacing w:lineRule="exact" w:line="600"/>
              <w:jc w:val="center"/>
            </w:pPr>
            <w:r/>
            <w:r>
              <w:rPr>
                <w:rFonts w:ascii="黑体" w:hAnsi="黑体" w:eastAsia="黑体"/>
                <w:b/>
                <w:color w:val="000000"/>
                <w:sz w:val="32"/>
              </w:rPr>
              <w:t>2024年</w:t>
            </w:r>
          </w:p>
        </w:tc>
        <w:tc>
          <w:tcPr>
            <w:tcW w:type="dxa" w:w="2154"/>
          </w:tcPr>
          <w:p>
            <w:pPr>
              <w:spacing w:lineRule="exact" w:line="600"/>
              <w:jc w:val="center"/>
            </w:pPr>
            <w:r/>
            <w:r>
              <w:rPr>
                <w:rFonts w:ascii="黑体" w:hAnsi="黑体" w:eastAsia="黑体"/>
                <w:b/>
                <w:color w:val="000000"/>
                <w:sz w:val="32"/>
              </w:rPr>
              <w:t>2025年</w:t>
            </w:r>
          </w:p>
        </w:tc>
      </w:tr>
      <w:tr>
        <w:tc>
          <w:tcPr>
            <w:tcW w:type="dxa" w:w="2551"/>
          </w:tcPr>
          <w:p>
            <w:pPr>
              <w:spacing w:lineRule="exact" w:line="600"/>
              <w:jc w:val="center"/>
            </w:pPr>
            <w:r/>
            <w:r>
              <w:rPr>
                <w:rFonts w:ascii="仿宋_GB2312" w:hAnsi="仿宋_GB2312" w:eastAsia="仿宋_GB2312"/>
                <w:b w:val="0"/>
                <w:color w:val="000000"/>
                <w:sz w:val="32"/>
              </w:rPr>
              <w:t>营业收入</w:t>
            </w:r>
          </w:p>
        </w:tc>
        <w:tc>
          <w:tcPr>
            <w:tcW w:type="dxa" w:w="2154"/>
          </w:tcPr>
          <w:p>
            <w:pPr>
              <w:spacing w:lineRule="exact" w:line="600"/>
              <w:jc w:val="center"/>
            </w:pPr>
            <w:r/>
            <w:r>
              <w:rPr>
                <w:rFonts w:ascii="仿宋_GB2312" w:hAnsi="仿宋_GB2312" w:eastAsia="仿宋_GB2312"/>
                <w:b w:val="0"/>
                <w:color w:val="000000"/>
                <w:sz w:val="32"/>
              </w:rPr>
              <w:t>12.70</w:t>
            </w:r>
          </w:p>
        </w:tc>
        <w:tc>
          <w:tcPr>
            <w:tcW w:type="dxa" w:w="2154"/>
          </w:tcPr>
          <w:p>
            <w:pPr>
              <w:spacing w:lineRule="exact" w:line="600"/>
              <w:jc w:val="center"/>
            </w:pPr>
            <w:r/>
            <w:r>
              <w:rPr>
                <w:rFonts w:ascii="仿宋_GB2312" w:hAnsi="仿宋_GB2312" w:eastAsia="仿宋_GB2312"/>
                <w:b w:val="0"/>
                <w:color w:val="000000"/>
                <w:sz w:val="32"/>
              </w:rPr>
              <w:t>16.93</w:t>
            </w:r>
          </w:p>
        </w:tc>
        <w:tc>
          <w:tcPr>
            <w:tcW w:type="dxa" w:w="2154"/>
          </w:tcPr>
          <w:p>
            <w:pPr>
              <w:spacing w:lineRule="exact" w:line="600"/>
              <w:jc w:val="center"/>
            </w:pPr>
            <w:r/>
            <w:r>
              <w:rPr>
                <w:rFonts w:ascii="仿宋_GB2312" w:hAnsi="仿宋_GB2312" w:eastAsia="仿宋_GB2312"/>
                <w:b w:val="0"/>
                <w:color w:val="000000"/>
                <w:sz w:val="32"/>
              </w:rPr>
              <w:t>19.61</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2154"/>
          </w:tcPr>
          <w:p>
            <w:pPr>
              <w:spacing w:lineRule="exact" w:line="600"/>
              <w:jc w:val="center"/>
            </w:pPr>
            <w:r/>
            <w:r>
              <w:rPr>
                <w:rFonts w:ascii="仿宋_GB2312" w:hAnsi="仿宋_GB2312" w:eastAsia="仿宋_GB2312"/>
                <w:b w:val="0"/>
                <w:color w:val="000000"/>
                <w:sz w:val="32"/>
              </w:rPr>
              <w:t>1.12</w:t>
            </w:r>
          </w:p>
        </w:tc>
        <w:tc>
          <w:tcPr>
            <w:tcW w:type="dxa" w:w="2154"/>
          </w:tcPr>
          <w:p>
            <w:pPr>
              <w:spacing w:lineRule="exact" w:line="600"/>
              <w:jc w:val="center"/>
            </w:pPr>
            <w:r/>
            <w:r>
              <w:rPr>
                <w:rFonts w:ascii="仿宋_GB2312" w:hAnsi="仿宋_GB2312" w:eastAsia="仿宋_GB2312"/>
                <w:b w:val="0"/>
                <w:color w:val="000000"/>
                <w:sz w:val="32"/>
              </w:rPr>
              <w:t>3.23</w:t>
            </w:r>
          </w:p>
        </w:tc>
        <w:tc>
          <w:tcPr>
            <w:tcW w:type="dxa" w:w="2154"/>
          </w:tcPr>
          <w:p>
            <w:pPr>
              <w:spacing w:lineRule="exact" w:line="600"/>
              <w:jc w:val="center"/>
            </w:pPr>
            <w:r/>
            <w:r>
              <w:rPr>
                <w:rFonts w:ascii="仿宋_GB2312" w:hAnsi="仿宋_GB2312" w:eastAsia="仿宋_GB2312"/>
                <w:b w:val="0"/>
                <w:color w:val="000000"/>
                <w:sz w:val="32"/>
              </w:rPr>
              <w:t>3.51</w:t>
            </w:r>
          </w:p>
        </w:tc>
      </w:tr>
      <w:tr>
        <w:tc>
          <w:tcPr>
            <w:tcW w:type="dxa" w:w="2551"/>
          </w:tcPr>
          <w:p>
            <w:pPr>
              <w:spacing w:lineRule="exact" w:line="600"/>
              <w:jc w:val="center"/>
            </w:pPr>
            <w:r/>
            <w:r>
              <w:rPr>
                <w:rFonts w:ascii="仿宋_GB2312" w:hAnsi="仿宋_GB2312" w:eastAsia="仿宋_GB2312"/>
                <w:b w:val="0"/>
                <w:color w:val="000000"/>
                <w:sz w:val="32"/>
              </w:rPr>
              <w:t>综合毛利率</w:t>
            </w:r>
          </w:p>
        </w:tc>
        <w:tc>
          <w:tcPr>
            <w:tcW w:type="dxa" w:w="2154"/>
          </w:tcPr>
          <w:p>
            <w:pPr>
              <w:spacing w:lineRule="exact" w:line="600"/>
              <w:jc w:val="center"/>
            </w:pPr>
            <w:r/>
            <w:r>
              <w:rPr>
                <w:rFonts w:ascii="仿宋_GB2312" w:hAnsi="仿宋_GB2312" w:eastAsia="仿宋_GB2312"/>
                <w:b w:val="0"/>
                <w:color w:val="000000"/>
                <w:sz w:val="32"/>
              </w:rPr>
              <w:t>约29%-30%</w:t>
            </w:r>
          </w:p>
        </w:tc>
        <w:tc>
          <w:tcPr>
            <w:tcW w:type="dxa" w:w="2154"/>
          </w:tcPr>
          <w:p>
            <w:pPr>
              <w:spacing w:lineRule="exact" w:line="600"/>
              <w:jc w:val="center"/>
            </w:pPr>
            <w:r/>
            <w:r>
              <w:rPr>
                <w:rFonts w:ascii="仿宋_GB2312" w:hAnsi="仿宋_GB2312" w:eastAsia="仿宋_GB2312"/>
                <w:b w:val="0"/>
                <w:color w:val="000000"/>
                <w:sz w:val="32"/>
              </w:rPr>
              <w:t>约29%-30%</w:t>
            </w:r>
          </w:p>
        </w:tc>
        <w:tc>
          <w:tcPr>
            <w:tcW w:type="dxa" w:w="2154"/>
          </w:tcPr>
          <w:p>
            <w:pPr>
              <w:spacing w:lineRule="exact" w:line="600"/>
              <w:jc w:val="center"/>
            </w:pPr>
            <w:r/>
            <w:r>
              <w:rPr>
                <w:rFonts w:ascii="仿宋_GB2312" w:hAnsi="仿宋_GB2312" w:eastAsia="仿宋_GB2312"/>
                <w:b w:val="0"/>
                <w:color w:val="000000"/>
                <w:sz w:val="32"/>
              </w:rPr>
              <w:t>29.23%</w:t>
            </w:r>
          </w:p>
        </w:tc>
      </w:tr>
      <w:tr>
        <w:tc>
          <w:tcPr>
            <w:tcW w:type="dxa" w:w="2551"/>
          </w:tcPr>
          <w:p>
            <w:pPr>
              <w:spacing w:lineRule="exact" w:line="600"/>
              <w:jc w:val="center"/>
            </w:pPr>
            <w:r/>
            <w:r>
              <w:rPr>
                <w:rFonts w:ascii="仿宋_GB2312" w:hAnsi="仿宋_GB2312" w:eastAsia="仿宋_GB2312"/>
                <w:b w:val="0"/>
                <w:color w:val="000000"/>
                <w:sz w:val="32"/>
              </w:rPr>
              <w:t>资产负债率</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22.85%</w:t>
            </w:r>
          </w:p>
        </w:tc>
      </w:tr>
      <w:tr>
        <w:tc>
          <w:tcPr>
            <w:tcW w:type="dxa" w:w="2551"/>
          </w:tcPr>
          <w:p>
            <w:pPr>
              <w:spacing w:lineRule="exact" w:line="600"/>
              <w:jc w:val="center"/>
            </w:pPr>
            <w:r/>
            <w:r>
              <w:rPr>
                <w:rFonts w:ascii="仿宋_GB2312" w:hAnsi="仿宋_GB2312" w:eastAsia="仿宋_GB2312"/>
                <w:b w:val="0"/>
                <w:color w:val="000000"/>
                <w:sz w:val="32"/>
              </w:rPr>
              <w:t>扣非净资产收益率</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22.66%</w:t>
            </w:r>
          </w:p>
        </w:tc>
      </w:tr>
      <w:tr>
        <w:tc>
          <w:tcPr>
            <w:tcW w:type="dxa" w:w="2551"/>
          </w:tcPr>
          <w:p>
            <w:pPr>
              <w:spacing w:lineRule="exact" w:line="600"/>
              <w:jc w:val="center"/>
            </w:pPr>
            <w:r/>
            <w:r>
              <w:rPr>
                <w:rFonts w:ascii="仿宋_GB2312" w:hAnsi="仿宋_GB2312" w:eastAsia="仿宋_GB2312"/>
                <w:b w:val="0"/>
                <w:color w:val="000000"/>
                <w:sz w:val="32"/>
              </w:rPr>
              <w:t>总资产（2025末）</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25.02</w:t>
            </w:r>
          </w:p>
        </w:tc>
      </w:tr>
      <w:tr>
        <w:tc>
          <w:tcPr>
            <w:tcW w:type="dxa" w:w="2551"/>
          </w:tcPr>
          <w:p>
            <w:pPr>
              <w:spacing w:lineRule="exact" w:line="600"/>
              <w:jc w:val="center"/>
            </w:pPr>
            <w:r/>
            <w:r>
              <w:rPr>
                <w:rFonts w:ascii="仿宋_GB2312" w:hAnsi="仿宋_GB2312" w:eastAsia="仿宋_GB2312"/>
                <w:b w:val="0"/>
                <w:color w:val="000000"/>
                <w:sz w:val="32"/>
              </w:rPr>
              <w:t>归母净资产（2025末）</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17.48</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营收由2023年12.70亿元增至2025年19.61亿元（复合增速24.28%），归母净利润由1.12亿元增至3.51亿元（复合增速76.93%），盈利增长强劲；2025年综合毛利率29.23%，在国内46家以汽车热管理为主业的上市公司中排名第7，盈利能力处行业前列。2026年一季度受行业产量下降与年降影响短期承压，但全年预计营收8.4—9.6亿元、净利润同比小幅下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2025年末总资产25.02亿元、归母净资产17.48亿元，资产结构以经营性资产为主，与汽车零部件制造匹配；随IPO募投项目投产，固定资产规模将上升。</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2025年末资产负债率22.85%，财务结构稳健、杠杆较低，偿债能力较强；募投项目以股权融资为主，不用于补充流动资金，有利于维持低杠杆。</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公司经营现金流随营收增长改善；但需注意应收账款随直销规模扩大而增加，且募投项目每年将新增最高1.65亿元折旧摊销，短期内对盈利水平有一定压力。</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在国内汽车热管理零部件上市公司中，天博智能2025年毛利率（29.23%）排名第7、扣非ROE（22.66%）排名第2，盈利质量优于多数同业；调温器国内第一、全球第三的细分地位构成显著竞争优势。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拟上市公众公司，正按上市公司标准完善董事会、审计/薪酬/提名等专门委员会及内控与信息披露体系；IPO审核中重点关注大额现金分红、员工持股基金赎回分红及历史资金拆借等事项，公司已配合核查资金流向与内控执行。</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法定代表人、董事长吕亚玮；核心管理团队具备数十年汽车零部件行业经验，主导温控、传感、电声三大业务的技术与市场战略。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通过IATF 16949、ISO 9001及ISO/IEC国家实验室认可，建立覆盖研发、采购、生产、销售的全流程质量与内控体系；研发中心每年保持销售收入4%以上研发投入。</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参保人数约1,514人，人员规模1,000—4,999人；建有山东省企业技术中心、感温元件工程技术研究中心，研发与技工队伍充实，支撑三大业务矩阵的技术迭代。</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细分市场垄断地位：调温器国内第一、全球第三，智能水阀/AVAS国内第二、温度传感器国内第四，具备定价与客户壁垒。二是客户壁垒：覆盖国内销量前十车企、直销占比超94%、深度同步开发，客户转换成本高、粘性强。三是技术与资质：国家级制造业单项冠军、国家高新技术企业、省级技术中心，研发投入占比超4%。四是资本与扩产：IPO募资20.57亿元扩产，缓解产能瓶颈。五是跨行业延展：拓展储能与AI数据中心液冷第二曲线，打开成长空间。</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与年降风险：汽车产量波动及主机厂年度降价直接压缩盈利，2026年一季度已现回落；应对为产品升级与成本管控。二是客户集中风险：前五大客户占比42.89%，虽无单一依赖，但行业景气度联动明显。三是投资与仲裁风险：参股企业上海馨联动力涉及股权回购担保仲裁案件，需关注潜在连带影响。四是产能消化与折旧风险：募投扩产后若需求不及预期，新增折旧将压制利润。五是供应链风险：高端芯片等曾受短缺影响，公司已推进国产替代但仍有外部依赖。</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主机厂（比亚迪、上汽等）的应收账款账期较长、规模大，可开展保理融资盘活资金。供应链金融：围绕核心企业为其上游精密金属件、电子元件供应商提供订单与存货融资。融资租赁：IPO募投产线设备投资大，适合以新购设备直租/回租。小贷：面向上下游中小配套企业短期周转。天博智能资质优良、盈利强劲、即将上市，是优质重点客户，建议以“主机厂应收保理+设备融资租赁”组合切入，并关注仲裁事项与募投进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天博智能是曲阜汽车电子产业集群的链主企业与国内汽车热管理零部件龙头，细分市占率领先、客户壁垒深、盈利质量优、即将登陆资本市场，但面临行业年降、客户集中与参股企业仲裁等风险。发展展望：据公司规划与行业趋势，新能源汽车渗透率提升使单车热管理系统价值量显著高于燃油车，叠加储能与算力液冷需求，公司扩产后成长空间明确。建议：一是对接主机厂应收保理与募投设备融资租赁；二是授信前评估仲裁事项影响并设置增信；三是跟踪汽车产量与年降节奏，设置动态监测。</w:t>
      </w:r>
    </w:p>
    <w:p>
      <w:pPr>
        <w:spacing w:lineRule="exact" w:line="600" w:before="0" w:after="0"/>
        <w:jc w:val="left"/>
      </w:pPr>
      <w:r>
        <w:rPr>
          <w:rFonts w:ascii="仿宋_GB2312" w:hAnsi="仿宋_GB2312" w:eastAsia="仿宋_GB2312"/>
          <w:b w:val="0"/>
          <w:color w:val="000000"/>
          <w:sz w:val="28"/>
        </w:rPr>
        <w:t>数据来源说明：中国证监会IPO注册批复（证监许可〔2026〕1643号）、上交所上市审核委员会审议公告、天博智能招股说明书（申报稿）、证券时报/新浪财经/山东商报等公开报道、天眼查/爱企查（工商股权）、公司官网 www.qftemb.com。财务数据来自招股说明书及公开报道，已注明口径。</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