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枣庄高新区锂电新能源特色产业集群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山东丰元化学股份有限公司企业分析报告</w:t>
      </w:r>
    </w:p>
    <w:p>
      <w:pPr>
        <w:spacing w:lineRule="exact" w:line="600" w:before="0" w:after="0"/>
        <w:jc w:val="left"/>
      </w:pPr>
      <w:r>
        <w:rPr>
          <w:rFonts w:ascii="仿宋_GB2312" w:hAnsi="仿宋_GB2312" w:eastAsia="仿宋_GB2312"/>
          <w:b w:val="0"/>
          <w:color w:val="000000"/>
          <w:sz w:val="28"/>
        </w:rPr>
        <w:t>（本报告依据山东丰元化学股份有限公司公开披露的年报、公告及权威媒体报道信息编制，涉及未公开披露事项均如实标注，用于产业集群代表企业分析参考。）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山东丰元化学股份有限公司</w:t>
            </w:r>
          </w:p>
        </w:tc>
      </w:tr>
      <w:tr>
        <w:tc>
          <w:tcPr>
            <w:tcW w:type="dxa" w:w="2381"/>
          </w:tcPr>
          <w:p>
            <w:pPr>
              <w:spacing w:lineRule="exact" w:line="600"/>
              <w:jc w:val="center"/>
            </w:pPr>
            <w:r/>
            <w:r>
              <w:rPr>
                <w:rFonts w:ascii="仿宋_GB2312" w:hAnsi="仿宋_GB2312" w:eastAsia="仿宋_GB2312"/>
                <w:b w:val="0"/>
                <w:color w:val="000000"/>
                <w:sz w:val="32"/>
              </w:rPr>
              <w:t>证券简称及代码</w:t>
            </w:r>
          </w:p>
        </w:tc>
        <w:tc>
          <w:tcPr>
            <w:tcW w:type="dxa" w:w="6463"/>
          </w:tcPr>
          <w:p>
            <w:pPr>
              <w:spacing w:lineRule="exact" w:line="600"/>
              <w:jc w:val="center"/>
            </w:pPr>
            <w:r/>
            <w:r>
              <w:rPr>
                <w:rFonts w:ascii="仿宋_GB2312" w:hAnsi="仿宋_GB2312" w:eastAsia="仿宋_GB2312"/>
                <w:b w:val="0"/>
                <w:color w:val="000000"/>
                <w:sz w:val="32"/>
              </w:rPr>
              <w:t>丰元股份（002805.SZ）</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枣庄市（枣庄/安庆/玉溪三大生产基地）</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枣庄高新区锂电新能源特色产业集群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锂电池正极材料（磷酸铁锂、三元材料）</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磷酸铁锂、三元正极材料</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法定代表人</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统一社会信用代码</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bl>
    <w:p>
      <w:pPr>
        <w:spacing w:lineRule="exact" w:line="600" w:before="0" w:after="0"/>
        <w:ind w:firstLine="420"/>
        <w:jc w:val="both"/>
      </w:pPr>
      <w:r>
        <w:rPr>
          <w:rFonts w:ascii="仿宋_GB2312" w:hAnsi="仿宋_GB2312" w:eastAsia="仿宋_GB2312"/>
          <w:b w:val="0"/>
          <w:color w:val="000000"/>
          <w:sz w:val="32"/>
        </w:rPr>
        <w:t>山东丰元化学股份有限公司（证券简称：丰元股份，代码：002805.SZ）是扎根枣庄、辐射全国的新能源材料骨干企业，被誉为"枣庄第一股"，深耕锂电池正极材料领域，形成磷酸铁锂、三元材料两大主流系列产品矩阵，广泛应用于储能、动力及数码领域锂电池。公司目前已建成磷酸铁锂产能22.5万吨，在建产能7.5万吨，建成及在建合计31.5万吨、规模居国内同行业前列，生产基地分布于山东枣庄、安徽安庆、云南玉溪三地。</w:t>
      </w:r>
    </w:p>
    <w:p>
      <w:pPr>
        <w:spacing w:lineRule="exact" w:line="600" w:before="0" w:after="0"/>
        <w:ind w:firstLine="420"/>
        <w:jc w:val="both"/>
      </w:pPr>
      <w:r>
        <w:rPr>
          <w:rFonts w:ascii="仿宋_GB2312" w:hAnsi="仿宋_GB2312" w:eastAsia="仿宋_GB2312"/>
          <w:b w:val="0"/>
          <w:color w:val="000000"/>
          <w:sz w:val="32"/>
        </w:rPr>
        <w:t>在工商登记信息方面，公司成立时间、法定代表人、统一社会信用代码等基础事项以国家企业信用信息公示系统及公开披露信息为准。作为上市公司，其登记与披露信息相对完备，实际开展业务时应以企业提供的营业执照原件、公司章程、股东名册及近三年定期报告为核验依据。</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据公开披露，丰元化学为民营控股的上市公司，股权相对分散，实际控制人通过一致行动安排保持控制力。公司重大投资、对外担保、关联交易等事项须遵循上市公司治理规范与信息披露要求，治理与内控相对规范、信息可得性较好。</w:t>
      </w:r>
    </w:p>
    <w:p>
      <w:pPr>
        <w:spacing w:lineRule="exact" w:line="600" w:before="0" w:after="0"/>
        <w:ind w:firstLine="420"/>
        <w:jc w:val="both"/>
      </w:pPr>
      <w:r>
        <w:rPr>
          <w:rFonts w:ascii="仿宋_GB2312" w:hAnsi="仿宋_GB2312" w:eastAsia="仿宋_GB2312"/>
          <w:b w:val="0"/>
          <w:color w:val="000000"/>
          <w:sz w:val="32"/>
        </w:rPr>
        <w:t>从出资人属性看，公司系民营企业，股权相对集中、决策链条较短、市场反应灵敏，但实际控制人个人风险与企业风险高度绑定。建议在尽职调查中重点核查实际控制人的股权质押情况、对外担保与个人负债情况、关联企业占用资金情况，并核实是否存在股权代持、抽屉协议等未披露事项。</w:t>
      </w:r>
    </w:p>
    <w:p>
      <w:pPr>
        <w:spacing w:lineRule="exact" w:line="600" w:before="0" w:after="0"/>
        <w:ind w:firstLine="420"/>
        <w:jc w:val="both"/>
      </w:pPr>
      <w:r>
        <w:rPr>
          <w:rFonts w:ascii="仿宋_GB2312" w:hAnsi="仿宋_GB2312" w:eastAsia="仿宋_GB2312"/>
          <w:b w:val="0"/>
          <w:color w:val="000000"/>
          <w:sz w:val="32"/>
        </w:rPr>
        <w:t>从出资人属性看，丰元化学为民营企业，股权相对集中、决策链条较短、市场反应灵敏是其突出优点，同时也带来实际控制人个人风险与企业风险高度绑定的问题。建议在尽职调查中重点核查实际控制人及其一致行动人的股权质押情况、对外担保与个人负债情况、关联企业占用资金情况，并核实是否存在股权代持、抽屉协议、一致行动安排等未披露事项。对家族式治理特征明显的企业，还应关注核心管理团队的稳定性与接续安排。</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丰元化学的发展与枣庄锂电产业的崛起深度绑定。公司由传统化工企业转型新能源材料，形成磷酸铁锂、三元材料两大产品矩阵，目前已建成磷酸铁锂产能22.5万吨、在建7.5万吨，合计31.5万吨、规模居国内同行业前列，生产基地分布于枣庄、安庆、玉溪三地。</w:t>
      </w:r>
    </w:p>
    <w:p>
      <w:pPr>
        <w:spacing w:lineRule="exact" w:line="600" w:before="0" w:after="0"/>
        <w:ind w:firstLine="420"/>
        <w:jc w:val="both"/>
      </w:pPr>
      <w:r>
        <w:rPr>
          <w:rFonts w:ascii="仿宋_GB2312" w:hAnsi="仿宋_GB2312" w:eastAsia="仿宋_GB2312"/>
          <w:b w:val="0"/>
          <w:color w:val="000000"/>
          <w:sz w:val="32"/>
        </w:rPr>
        <w:t>在业绩端，公司2023年营收27.77亿元、归母亏损3.89亿元；2024年营收14.90亿元、归母亏损3.62亿元；2025年营收23.27亿元、归母亏损4.85亿元，连续三年亏损，反映正极材料行业价格下行对盈利的冲击。公司已成为宁德时代合格供应商，并与比亚迪签订2025—2028年度磷酸铁锂合作框架协议，比亚迪承诺优先使用其产品。这一沿革表明公司成长源于产能扩张与头部客户绑定，但盈利受行业周期深度影响。</w:t>
      </w:r>
    </w:p>
    <w:p>
      <w:pPr>
        <w:spacing w:lineRule="exact" w:line="600" w:before="0" w:after="0"/>
        <w:ind w:firstLine="420"/>
        <w:jc w:val="both"/>
      </w:pPr>
      <w:r>
        <w:rPr>
          <w:rFonts w:ascii="仿宋_GB2312" w:hAnsi="仿宋_GB2312" w:eastAsia="仿宋_GB2312"/>
          <w:b w:val="0"/>
          <w:color w:val="000000"/>
          <w:sz w:val="32"/>
        </w:rPr>
        <w:t>总体看，丰元化学的发展轨迹与锂电新能源材料与电芯制造行业演进和枣庄高新区锂电新能源特色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从产业链定位看，公司处于锂电池正极材料环节，是枣庄锂电新能源集群的核心材料企业。据公开报道，公司已建成磷酸铁锂产能22.5万吨、在建7.5万吨，合计31.5万吨、规模居国内同行业前列，生产基地分布于枣庄、安庆、玉溪三地，研发的高性能高压实密度磷酸铁锂质量优于行业主流水平。</w:t>
      </w:r>
    </w:p>
    <w:p>
      <w:pPr>
        <w:spacing w:lineRule="exact" w:line="600" w:before="0" w:after="0"/>
        <w:ind w:firstLine="420"/>
        <w:jc w:val="both"/>
      </w:pPr>
      <w:r>
        <w:rPr>
          <w:rFonts w:ascii="仿宋_GB2312" w:hAnsi="仿宋_GB2312" w:eastAsia="仿宋_GB2312"/>
          <w:b w:val="0"/>
          <w:color w:val="000000"/>
          <w:sz w:val="32"/>
        </w:rPr>
        <w:t>公司已成为宁德时代合格供应商，并与比亚迪签订2025—2028年度磷酸铁锂合作框架协议，头部客户绑定扎实。上述产能与客户数据来自企业与行业公开报道，建议通过下游客户采购情况交叉验证。</w:t>
      </w:r>
    </w:p>
    <w:p>
      <w:pPr>
        <w:spacing w:lineRule="exact" w:line="600" w:before="0" w:after="0"/>
        <w:ind w:firstLine="420"/>
        <w:jc w:val="both"/>
      </w:pPr>
      <w:r>
        <w:rPr>
          <w:rFonts w:ascii="仿宋_GB2312" w:hAnsi="仿宋_GB2312" w:eastAsia="仿宋_GB2312"/>
          <w:b w:val="0"/>
          <w:color w:val="000000"/>
          <w:sz w:val="32"/>
        </w:rPr>
        <w:t>在枣庄高新区锂电新能源特色产业集群的产业链分工中，丰元化学处于"锂电池正极材料制造"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业务以磷酸铁锂、三元正极材料为核心，产品应用于储能、动力及数码领域锂电池。已建成磷酸铁锂22.5万吨、在建7.5万吨，合计31.5万吨；与比亚迪签订2025—2028年度合作框架，并成为宁德时代合格供应商，与楚能新能源等建立长期合作。</w:t>
      </w:r>
    </w:p>
    <w:p>
      <w:pPr>
        <w:spacing w:lineRule="exact" w:line="600" w:before="0" w:after="0"/>
        <w:ind w:firstLine="420"/>
        <w:jc w:val="both"/>
      </w:pPr>
      <w:r>
        <w:rPr>
          <w:rFonts w:ascii="仿宋_GB2312" w:hAnsi="仿宋_GB2312" w:eastAsia="仿宋_GB2312"/>
          <w:b w:val="0"/>
          <w:color w:val="000000"/>
          <w:sz w:val="32"/>
        </w:rPr>
        <w:t>各产品线的销量、单价与毛利率数据未逐项公开，建议在尽调中重点获取分产品财务序列与产能利用率。</w:t>
      </w:r>
    </w:p>
    <w:p>
      <w:pPr>
        <w:spacing w:lineRule="exact" w:line="600" w:before="0" w:after="0"/>
        <w:ind w:firstLine="420"/>
        <w:jc w:val="both"/>
      </w:pPr>
      <w:r>
        <w:rPr>
          <w:rFonts w:ascii="仿宋_GB2312" w:hAnsi="仿宋_GB2312" w:eastAsia="仿宋_GB2312"/>
          <w:b w:val="0"/>
          <w:color w:val="000000"/>
          <w:sz w:val="32"/>
        </w:rPr>
        <w:t>从业务结构的稳健性看，评价丰元化学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产能布局跨枣庄、安庆、玉溪三地，已建成磷酸铁锂22.5万吨、在建7.5万吨。化工与新能源材料行业属于资本密集、许可密集行业，产能有效性取决于安全生产许可、环评批复、能耗与碳排放指标及园区准入等约束。</w:t>
      </w:r>
    </w:p>
    <w:p>
      <w:pPr>
        <w:spacing w:lineRule="exact" w:line="600" w:before="0" w:after="0"/>
        <w:ind w:firstLine="420"/>
        <w:jc w:val="both"/>
      </w:pPr>
      <w:r>
        <w:rPr>
          <w:rFonts w:ascii="仿宋_GB2312" w:hAnsi="仿宋_GB2312" w:eastAsia="仿宋_GB2312"/>
          <w:b w:val="0"/>
          <w:color w:val="000000"/>
          <w:sz w:val="32"/>
        </w:rPr>
        <w:t>资质方面，公司须取得危险化学品生产许可、排污许可、ISO/IATF16949等体系认证及下游电池企业合格供应商资格（已获宁德时代、比亚迪认证）。具体产能、许可与有效期未公开披露，建议逐项核查。</w:t>
      </w:r>
    </w:p>
    <w:p>
      <w:pPr>
        <w:spacing w:lineRule="exact" w:line="600" w:before="0" w:after="0"/>
        <w:ind w:firstLine="420"/>
        <w:jc w:val="both"/>
      </w:pPr>
      <w:r>
        <w:rPr>
          <w:rFonts w:ascii="仿宋_GB2312" w:hAnsi="仿宋_GB2312" w:eastAsia="仿宋_GB2312"/>
          <w:b w:val="0"/>
          <w:color w:val="000000"/>
          <w:sz w:val="32"/>
        </w:rPr>
        <w:t>化工与新能源材料行业属于典型的资本密集、许可密集行业。产能的有效性不仅取决于设计规模，更取决于四项约束：一是安全生产许可与危险化学品经营（生产）许可的品种范围与有效期；二是环评批复、排污许可中对产量、排放总量、特征污染物的限定；三是能耗与碳排放指标，在能耗双控和碳排放双控转换背景下，新增产能须取得用能权、能耗置换等前置条件；四是园区准入与安全距离、"三线一单"等空间管制要求。以上任一条件不满足，名义产能都可能无法转化为有效产量。建议将各类证照清单、有效期、许可产能与实际产量的匹配情况纳入尽调必查项。</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公司客户为比亚迪、宁德时代、楚能新能源等头部电池与整车企业，客户信用等级高但账期长、议价能力强，易形成应收账款与票据的规模沉淀。与比亚迪的框架协议提供订单保障。</w:t>
      </w:r>
    </w:p>
    <w:p>
      <w:pPr>
        <w:spacing w:lineRule="exact" w:line="600" w:before="0" w:after="0"/>
        <w:ind w:firstLine="420"/>
        <w:jc w:val="both"/>
      </w:pPr>
      <w:r>
        <w:rPr>
          <w:rFonts w:ascii="仿宋_GB2312" w:hAnsi="仿宋_GB2312" w:eastAsia="仿宋_GB2312"/>
          <w:b w:val="0"/>
          <w:color w:val="000000"/>
          <w:sz w:val="32"/>
        </w:rPr>
        <w:t>公司前五大客户名称、销售金额、账期及应收账款账龄结构未公开披露。建议重点关注客户集中度与回款质量。</w:t>
      </w:r>
    </w:p>
    <w:p>
      <w:pPr>
        <w:spacing w:lineRule="exact" w:line="600" w:before="0" w:after="0"/>
        <w:ind w:firstLine="420"/>
        <w:jc w:val="both"/>
      </w:pPr>
      <w:r>
        <w:rPr>
          <w:rFonts w:ascii="仿宋_GB2312" w:hAnsi="仿宋_GB2312" w:eastAsia="仿宋_GB2312"/>
          <w:b w:val="0"/>
          <w:color w:val="000000"/>
          <w:sz w:val="32"/>
        </w:rPr>
        <w:t>客户结构是判断丰元化学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公司主要原料为锂盐、磷酸铁、三元前驱体等，价格大幅波动。公司通过多基地布局与头部客户绑定平滑成本。</w:t>
      </w:r>
    </w:p>
    <w:p>
      <w:pPr>
        <w:spacing w:lineRule="exact" w:line="600" w:before="0" w:after="0"/>
        <w:ind w:firstLine="420"/>
        <w:jc w:val="both"/>
      </w:pPr>
      <w:r>
        <w:rPr>
          <w:rFonts w:ascii="仿宋_GB2312" w:hAnsi="仿宋_GB2312" w:eastAsia="仿宋_GB2312"/>
          <w:b w:val="0"/>
          <w:color w:val="000000"/>
          <w:sz w:val="32"/>
        </w:rPr>
        <w:t>主要供应商名单、采购集中度与库存周转未公开披露。鉴于锂盐价格波动剧烈，建议核查其库存管理与价格联动机制。</w:t>
      </w:r>
    </w:p>
    <w:p>
      <w:pPr>
        <w:spacing w:lineRule="exact" w:line="600" w:before="0" w:after="0"/>
        <w:ind w:firstLine="420"/>
        <w:jc w:val="both"/>
      </w:pPr>
      <w:r>
        <w:rPr>
          <w:rFonts w:ascii="仿宋_GB2312" w:hAnsi="仿宋_GB2312" w:eastAsia="仿宋_GB2312"/>
          <w:b w:val="0"/>
          <w:color w:val="000000"/>
          <w:sz w:val="32"/>
        </w:rPr>
        <w:t>原料成本在化工及电池材料企业营业成本中通常占据主导地位，原料价格波动对毛利率的影响远超其他因素。企业应对手段主要有四：一是纵向一体化，通过自建上游装置提升自供率，锁定成本；二是长协与套期保值，与上游签订年度框架协议并在期货市场对冲；三是配方与工艺优化，降低单耗或实现原料替代；四是价格联动条款，在销售合同中约定随原料价格调整售价，将波动向下游传导。建议核查企业前五大供应商集中度、长协覆盖比例、原料库存周转天数以及是否存在单一来源、进口依赖等断供风险点。</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据公开数据，枣庄锂电新能源产业2024年营收73.2亿元、增速106.8%。丰元化学为其中正极材料核心企业，合计产能31.5万吨居国内前列。</w:t>
      </w:r>
    </w:p>
    <w:p>
      <w:pPr>
        <w:spacing w:lineRule="exact" w:line="600" w:before="0" w:after="0"/>
        <w:ind w:firstLine="420"/>
        <w:jc w:val="both"/>
      </w:pPr>
      <w:r>
        <w:rPr>
          <w:rFonts w:ascii="仿宋_GB2312" w:hAnsi="仿宋_GB2312" w:eastAsia="仿宋_GB2312"/>
          <w:b w:val="0"/>
          <w:color w:val="000000"/>
          <w:sz w:val="32"/>
        </w:rPr>
        <w:t>竞争格局方面，正极材料环节经历高速扩张后进入产能过剩与价格下行阶段，加工费持续压缩。丰元化学依托头部客户绑定与高性能产品避开低价内卷，但盈利仍受行业周期深度影响。</w:t>
      </w:r>
    </w:p>
    <w:p>
      <w:pPr>
        <w:spacing w:lineRule="exact" w:line="600" w:before="0" w:after="0"/>
        <w:ind w:firstLine="420"/>
        <w:jc w:val="both"/>
      </w:pPr>
      <w:r>
        <w:rPr>
          <w:rFonts w:ascii="仿宋_GB2312" w:hAnsi="仿宋_GB2312" w:eastAsia="仿宋_GB2312"/>
          <w:b w:val="0"/>
          <w:color w:val="000000"/>
          <w:sz w:val="32"/>
        </w:rPr>
        <w:t>判断丰元化学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以下为丰元化学近三年主要会计数据，来源于公司公开披露的2023年、2024年年度报告及2025年第三季度报告，金额单位为人民币元，供分析参考。</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551"/>
          </w:tcPr>
          <w:p>
            <w:pPr>
              <w:spacing w:lineRule="exact" w:line="600"/>
              <w:jc w:val="center"/>
            </w:pPr>
            <w:r/>
            <w:r>
              <w:rPr>
                <w:rFonts w:ascii="黑体" w:hAnsi="黑体" w:eastAsia="黑体"/>
                <w:b/>
                <w:color w:val="000000"/>
                <w:sz w:val="32"/>
              </w:rPr>
              <w:t>指标</w:t>
            </w:r>
          </w:p>
        </w:tc>
        <w:tc>
          <w:tcPr>
            <w:tcW w:type="dxa" w:w="2098"/>
          </w:tcPr>
          <w:p>
            <w:pPr>
              <w:spacing w:lineRule="exact" w:line="600"/>
              <w:jc w:val="center"/>
            </w:pPr>
            <w:r/>
            <w:r>
              <w:rPr>
                <w:rFonts w:ascii="黑体" w:hAnsi="黑体" w:eastAsia="黑体"/>
                <w:b/>
                <w:color w:val="000000"/>
                <w:sz w:val="32"/>
              </w:rPr>
              <w:t>2023年</w:t>
            </w:r>
          </w:p>
        </w:tc>
        <w:tc>
          <w:tcPr>
            <w:tcW w:type="dxa" w:w="2098"/>
          </w:tcPr>
          <w:p>
            <w:pPr>
              <w:spacing w:lineRule="exact" w:line="600"/>
              <w:jc w:val="center"/>
            </w:pPr>
            <w:r/>
            <w:r>
              <w:rPr>
                <w:rFonts w:ascii="黑体" w:hAnsi="黑体" w:eastAsia="黑体"/>
                <w:b/>
                <w:color w:val="000000"/>
                <w:sz w:val="32"/>
              </w:rPr>
              <w:t>2024年</w:t>
            </w:r>
          </w:p>
        </w:tc>
        <w:tc>
          <w:tcPr>
            <w:tcW w:type="dxa" w:w="2098"/>
          </w:tcPr>
          <w:p>
            <w:pPr>
              <w:spacing w:lineRule="exact" w:line="600"/>
              <w:jc w:val="center"/>
            </w:pPr>
            <w:r/>
            <w:r>
              <w:rPr>
                <w:rFonts w:ascii="黑体" w:hAnsi="黑体" w:eastAsia="黑体"/>
                <w:b/>
                <w:color w:val="000000"/>
                <w:sz w:val="32"/>
              </w:rPr>
              <w:t>2025年</w:t>
            </w:r>
          </w:p>
        </w:tc>
      </w:tr>
      <w:tr>
        <w:tc>
          <w:tcPr>
            <w:tcW w:type="dxa" w:w="2551"/>
          </w:tcPr>
          <w:p>
            <w:pPr>
              <w:spacing w:lineRule="exact" w:line="600"/>
              <w:jc w:val="center"/>
            </w:pPr>
            <w:r/>
            <w:r>
              <w:rPr>
                <w:rFonts w:ascii="仿宋_GB2312" w:hAnsi="仿宋_GB2312" w:eastAsia="仿宋_GB2312"/>
                <w:b w:val="0"/>
                <w:color w:val="000000"/>
                <w:sz w:val="32"/>
              </w:rPr>
              <w:t>营业收入（亿元）</w:t>
            </w:r>
          </w:p>
        </w:tc>
        <w:tc>
          <w:tcPr>
            <w:tcW w:type="dxa" w:w="2098"/>
          </w:tcPr>
          <w:p>
            <w:pPr>
              <w:spacing w:lineRule="exact" w:line="600"/>
              <w:jc w:val="center"/>
            </w:pPr>
            <w:r/>
            <w:r>
              <w:rPr>
                <w:rFonts w:ascii="仿宋_GB2312" w:hAnsi="仿宋_GB2312" w:eastAsia="仿宋_GB2312"/>
                <w:b w:val="0"/>
                <w:color w:val="000000"/>
                <w:sz w:val="32"/>
              </w:rPr>
              <w:t>27.77</w:t>
            </w:r>
          </w:p>
        </w:tc>
        <w:tc>
          <w:tcPr>
            <w:tcW w:type="dxa" w:w="2098"/>
          </w:tcPr>
          <w:p>
            <w:pPr>
              <w:spacing w:lineRule="exact" w:line="600"/>
              <w:jc w:val="center"/>
            </w:pPr>
            <w:r/>
            <w:r>
              <w:rPr>
                <w:rFonts w:ascii="仿宋_GB2312" w:hAnsi="仿宋_GB2312" w:eastAsia="仿宋_GB2312"/>
                <w:b w:val="0"/>
                <w:color w:val="000000"/>
                <w:sz w:val="32"/>
              </w:rPr>
              <w:t>14.90</w:t>
            </w:r>
          </w:p>
        </w:tc>
        <w:tc>
          <w:tcPr>
            <w:tcW w:type="dxa" w:w="2098"/>
          </w:tcPr>
          <w:p>
            <w:pPr>
              <w:spacing w:lineRule="exact" w:line="600"/>
              <w:jc w:val="center"/>
            </w:pPr>
            <w:r/>
            <w:r>
              <w:rPr>
                <w:rFonts w:ascii="仿宋_GB2312" w:hAnsi="仿宋_GB2312" w:eastAsia="仿宋_GB2312"/>
                <w:b w:val="0"/>
                <w:color w:val="000000"/>
                <w:sz w:val="32"/>
              </w:rPr>
              <w:t>23.27</w:t>
            </w:r>
          </w:p>
        </w:tc>
      </w:tr>
      <w:tr>
        <w:tc>
          <w:tcPr>
            <w:tcW w:type="dxa" w:w="2551"/>
          </w:tcPr>
          <w:p>
            <w:pPr>
              <w:spacing w:lineRule="exact" w:line="600"/>
              <w:jc w:val="center"/>
            </w:pPr>
            <w:r/>
            <w:r>
              <w:rPr>
                <w:rFonts w:ascii="仿宋_GB2312" w:hAnsi="仿宋_GB2312" w:eastAsia="仿宋_GB2312"/>
                <w:b w:val="0"/>
                <w:color w:val="000000"/>
                <w:sz w:val="32"/>
              </w:rPr>
              <w:t>归母净利润（亿元）</w:t>
            </w:r>
          </w:p>
        </w:tc>
        <w:tc>
          <w:tcPr>
            <w:tcW w:type="dxa" w:w="2098"/>
          </w:tcPr>
          <w:p>
            <w:pPr>
              <w:spacing w:lineRule="exact" w:line="600"/>
              <w:jc w:val="center"/>
            </w:pPr>
            <w:r/>
            <w:r>
              <w:rPr>
                <w:rFonts w:ascii="仿宋_GB2312" w:hAnsi="仿宋_GB2312" w:eastAsia="仿宋_GB2312"/>
                <w:b w:val="0"/>
                <w:color w:val="000000"/>
                <w:sz w:val="32"/>
              </w:rPr>
              <w:t>-3.89</w:t>
            </w:r>
          </w:p>
        </w:tc>
        <w:tc>
          <w:tcPr>
            <w:tcW w:type="dxa" w:w="2098"/>
          </w:tcPr>
          <w:p>
            <w:pPr>
              <w:spacing w:lineRule="exact" w:line="600"/>
              <w:jc w:val="center"/>
            </w:pPr>
            <w:r/>
            <w:r>
              <w:rPr>
                <w:rFonts w:ascii="仿宋_GB2312" w:hAnsi="仿宋_GB2312" w:eastAsia="仿宋_GB2312"/>
                <w:b w:val="0"/>
                <w:color w:val="000000"/>
                <w:sz w:val="32"/>
              </w:rPr>
              <w:t>-3.62</w:t>
            </w:r>
          </w:p>
        </w:tc>
        <w:tc>
          <w:tcPr>
            <w:tcW w:type="dxa" w:w="2098"/>
          </w:tcPr>
          <w:p>
            <w:pPr>
              <w:spacing w:lineRule="exact" w:line="600"/>
              <w:jc w:val="center"/>
            </w:pPr>
            <w:r/>
            <w:r>
              <w:rPr>
                <w:rFonts w:ascii="仿宋_GB2312" w:hAnsi="仿宋_GB2312" w:eastAsia="仿宋_GB2312"/>
                <w:b w:val="0"/>
                <w:color w:val="000000"/>
                <w:sz w:val="32"/>
              </w:rPr>
              <w:t>-4.85</w:t>
            </w:r>
          </w:p>
        </w:tc>
      </w:tr>
      <w:tr>
        <w:tc>
          <w:tcPr>
            <w:tcW w:type="dxa" w:w="2551"/>
          </w:tcPr>
          <w:p>
            <w:pPr>
              <w:spacing w:lineRule="exact" w:line="600"/>
              <w:jc w:val="center"/>
            </w:pPr>
            <w:r/>
            <w:r>
              <w:rPr>
                <w:rFonts w:ascii="仿宋_GB2312" w:hAnsi="仿宋_GB2312" w:eastAsia="仿宋_GB2312"/>
                <w:b w:val="0"/>
                <w:color w:val="000000"/>
                <w:sz w:val="32"/>
              </w:rPr>
              <w:t>总资产（亿元）</w:t>
            </w:r>
          </w:p>
        </w:tc>
        <w:tc>
          <w:tcPr>
            <w:tcW w:type="dxa" w:w="2098"/>
          </w:tcPr>
          <w:p>
            <w:pPr>
              <w:spacing w:lineRule="exact" w:line="600"/>
              <w:jc w:val="center"/>
            </w:pPr>
            <w:r/>
            <w:r>
              <w:rPr>
                <w:rFonts w:ascii="仿宋_GB2312" w:hAnsi="仿宋_GB2312" w:eastAsia="仿宋_GB2312"/>
                <w:b w:val="0"/>
                <w:color w:val="000000"/>
                <w:sz w:val="32"/>
              </w:rPr>
              <w:t>59.27</w:t>
            </w:r>
          </w:p>
        </w:tc>
        <w:tc>
          <w:tcPr>
            <w:tcW w:type="dxa" w:w="2098"/>
          </w:tcPr>
          <w:p>
            <w:pPr>
              <w:spacing w:lineRule="exact" w:line="600"/>
              <w:jc w:val="center"/>
            </w:pPr>
            <w:r/>
            <w:r>
              <w:rPr>
                <w:rFonts w:ascii="仿宋_GB2312" w:hAnsi="仿宋_GB2312" w:eastAsia="仿宋_GB2312"/>
                <w:b w:val="0"/>
                <w:color w:val="000000"/>
                <w:sz w:val="32"/>
              </w:rPr>
              <w:t>54.40</w:t>
            </w:r>
          </w:p>
        </w:tc>
        <w:tc>
          <w:tcPr>
            <w:tcW w:type="dxa" w:w="2098"/>
          </w:tcPr>
          <w:p>
            <w:pPr>
              <w:spacing w:lineRule="exact" w:line="600"/>
              <w:jc w:val="center"/>
            </w:pPr>
            <w:r/>
            <w:r>
              <w:rPr>
                <w:rFonts w:ascii="仿宋_GB2312" w:hAnsi="仿宋_GB2312" w:eastAsia="仿宋_GB2312"/>
                <w:b w:val="0"/>
                <w:color w:val="000000"/>
                <w:sz w:val="32"/>
              </w:rPr>
              <w:t>51.14</w:t>
            </w:r>
          </w:p>
        </w:tc>
      </w:tr>
      <w:tr>
        <w:tc>
          <w:tcPr>
            <w:tcW w:type="dxa" w:w="2551"/>
          </w:tcPr>
          <w:p>
            <w:pPr>
              <w:spacing w:lineRule="exact" w:line="600"/>
              <w:jc w:val="center"/>
            </w:pPr>
            <w:r/>
            <w:r>
              <w:rPr>
                <w:rFonts w:ascii="仿宋_GB2312" w:hAnsi="仿宋_GB2312" w:eastAsia="仿宋_GB2312"/>
                <w:b w:val="0"/>
                <w:color w:val="000000"/>
                <w:sz w:val="32"/>
              </w:rPr>
              <w:t>资产负债率（%）</w:t>
            </w:r>
          </w:p>
        </w:tc>
        <w:tc>
          <w:tcPr>
            <w:tcW w:type="dxa" w:w="2098"/>
          </w:tcPr>
          <w:p>
            <w:pPr>
              <w:spacing w:lineRule="exact" w:line="600"/>
              <w:jc w:val="center"/>
            </w:pPr>
            <w:r/>
            <w:r>
              <w:rPr>
                <w:rFonts w:ascii="仿宋_GB2312" w:hAnsi="仿宋_GB2312" w:eastAsia="仿宋_GB2312"/>
                <w:b w:val="0"/>
                <w:color w:val="000000"/>
                <w:sz w:val="32"/>
              </w:rPr>
              <w:t>未披露</w:t>
            </w:r>
          </w:p>
        </w:tc>
        <w:tc>
          <w:tcPr>
            <w:tcW w:type="dxa" w:w="2098"/>
          </w:tcPr>
          <w:p>
            <w:pPr>
              <w:spacing w:lineRule="exact" w:line="600"/>
              <w:jc w:val="center"/>
            </w:pPr>
            <w:r/>
            <w:r>
              <w:rPr>
                <w:rFonts w:ascii="仿宋_GB2312" w:hAnsi="仿宋_GB2312" w:eastAsia="仿宋_GB2312"/>
                <w:b w:val="0"/>
                <w:color w:val="000000"/>
                <w:sz w:val="32"/>
              </w:rPr>
              <w:t>57.31</w:t>
            </w:r>
          </w:p>
        </w:tc>
        <w:tc>
          <w:tcPr>
            <w:tcW w:type="dxa" w:w="2098"/>
          </w:tcPr>
          <w:p>
            <w:pPr>
              <w:spacing w:lineRule="exact" w:line="600"/>
              <w:jc w:val="center"/>
            </w:pPr>
            <w:r/>
            <w:r>
              <w:rPr>
                <w:rFonts w:ascii="仿宋_GB2312" w:hAnsi="仿宋_GB2312" w:eastAsia="仿宋_GB2312"/>
                <w:b w:val="0"/>
                <w:color w:val="000000"/>
                <w:sz w:val="32"/>
              </w:rPr>
              <w:t>68.62</w:t>
            </w:r>
          </w:p>
        </w:tc>
      </w:tr>
      <w:tr>
        <w:tc>
          <w:tcPr>
            <w:tcW w:type="dxa" w:w="2551"/>
          </w:tcPr>
          <w:p>
            <w:pPr>
              <w:spacing w:lineRule="exact" w:line="600"/>
              <w:jc w:val="center"/>
            </w:pPr>
            <w:r/>
            <w:r>
              <w:rPr>
                <w:rFonts w:ascii="仿宋_GB2312" w:hAnsi="仿宋_GB2312" w:eastAsia="仿宋_GB2312"/>
                <w:b w:val="0"/>
                <w:color w:val="000000"/>
                <w:sz w:val="32"/>
              </w:rPr>
              <w:t>经营现金流净额（亿元）</w:t>
            </w:r>
          </w:p>
        </w:tc>
        <w:tc>
          <w:tcPr>
            <w:tcW w:type="dxa" w:w="2098"/>
          </w:tcPr>
          <w:p>
            <w:pPr>
              <w:spacing w:lineRule="exact" w:line="600"/>
              <w:jc w:val="center"/>
            </w:pPr>
            <w:r/>
            <w:r>
              <w:rPr>
                <w:rFonts w:ascii="仿宋_GB2312" w:hAnsi="仿宋_GB2312" w:eastAsia="仿宋_GB2312"/>
                <w:b w:val="0"/>
                <w:color w:val="000000"/>
                <w:sz w:val="32"/>
              </w:rPr>
              <w:t>未披露</w:t>
            </w:r>
          </w:p>
        </w:tc>
        <w:tc>
          <w:tcPr>
            <w:tcW w:type="dxa" w:w="2098"/>
          </w:tcPr>
          <w:p>
            <w:pPr>
              <w:spacing w:lineRule="exact" w:line="600"/>
              <w:jc w:val="center"/>
            </w:pPr>
            <w:r/>
            <w:r>
              <w:rPr>
                <w:rFonts w:ascii="仿宋_GB2312" w:hAnsi="仿宋_GB2312" w:eastAsia="仿宋_GB2312"/>
                <w:b w:val="0"/>
                <w:color w:val="000000"/>
                <w:sz w:val="32"/>
              </w:rPr>
              <w:t>0.44</w:t>
            </w:r>
          </w:p>
        </w:tc>
        <w:tc>
          <w:tcPr>
            <w:tcW w:type="dxa" w:w="2098"/>
          </w:tcPr>
          <w:p>
            <w:pPr>
              <w:spacing w:lineRule="exact" w:line="600"/>
              <w:jc w:val="center"/>
            </w:pPr>
            <w:r/>
            <w:r>
              <w:rPr>
                <w:rFonts w:ascii="仿宋_GB2312" w:hAnsi="仿宋_GB2312" w:eastAsia="仿宋_GB2312"/>
                <w:b w:val="0"/>
                <w:color w:val="000000"/>
                <w:sz w:val="32"/>
              </w:rPr>
              <w:t>-2.13</w:t>
            </w:r>
          </w:p>
        </w:tc>
      </w:tr>
    </w:tbl>
    <w:p>
      <w:pPr>
        <w:spacing w:lineRule="exact" w:line="600" w:before="0" w:after="0"/>
        <w:ind w:firstLine="420"/>
        <w:jc w:val="both"/>
      </w:pPr>
      <w:r>
        <w:rPr>
          <w:rFonts w:ascii="仿宋_GB2312" w:hAnsi="仿宋_GB2312" w:eastAsia="仿宋_GB2312"/>
          <w:b w:val="0"/>
          <w:color w:val="000000"/>
          <w:sz w:val="32"/>
        </w:rPr>
        <w:t>从近三年数据看，公司营业收入由2023年的27.77亿元降至2024年的14.90亿元、2025年回升至23.27亿元，但归母净利润连续三年亏损（2023年-3.89亿、2024年-3.62亿、2025年-4.85亿）。资产负债率由2024年的57.31%升至2025年的68.62%，经营现金流净额由2024年0.44亿元转为2025年-2.13亿元，显示盈利与现金流压力加大。</w:t>
      </w:r>
    </w:p>
    <w:p>
      <w:pPr>
        <w:spacing w:lineRule="exact" w:line="600" w:before="0" w:after="0"/>
        <w:ind w:firstLine="420"/>
        <w:jc w:val="both"/>
      </w:pPr>
      <w:r>
        <w:rPr>
          <w:rFonts w:ascii="仿宋_GB2312" w:hAnsi="仿宋_GB2312" w:eastAsia="仿宋_GB2312"/>
          <w:b w:val="0"/>
          <w:color w:val="000000"/>
          <w:sz w:val="32"/>
        </w:rPr>
        <w:t>数据清晰地反映出正极材料行业价格下行对丰元化学盈利的冲击：收入波动、连续亏损、负债率攀升、经营现金流转负。公司虽与比亚迪、宁德时代等头部客户绑定，但行业性加工费压缩使其短期盈利承压，需关注其债务负担与再融资能力。</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盈利连续三年亏损，2025年归母净利润-4.85亿元。锂电材料与电芯环节近年经历从供不应求到产能过剩的剧烈切换，行业整体呈现"价格快速下行、单位盈利大幅收缩"特征。丰元化学穿越本轮周期的关键在于绑定头部客户（比亚迪、宁德时代）以保障负荷，并通过技术升级（高性能高压实密度磷酸铁锂）提升产品溢价、避开低价内卷。</w:t>
      </w:r>
    </w:p>
    <w:p>
      <w:pPr>
        <w:spacing w:lineRule="exact" w:line="600" w:before="0" w:after="0"/>
        <w:ind w:firstLine="420"/>
        <w:jc w:val="both"/>
      </w:pPr>
      <w:r>
        <w:rPr>
          <w:rFonts w:ascii="仿宋_GB2312" w:hAnsi="仿宋_GB2312" w:eastAsia="仿宋_GB2312"/>
          <w:b w:val="0"/>
          <w:color w:val="000000"/>
          <w:sz w:val="32"/>
        </w:rPr>
        <w:t>锂电材料与电芯环节近年经历了从供不应求到产能过剩的剧烈切换，行业整体呈现"价格快速下行、单位盈利大幅收缩、头部集中度提升"的特征。该阶段盈利分析需特别关注四点：一是产品结构，高压实密度、高倍率等高端型号与常规型号的盈利差异显著；二是加工费模式，代工与来料加工模式下收入随原料价格波动而利润相对稳定，与自购原料模式的报表表现完全不同；三是产能利用率，重资产属性使折旧成为刚性成本，负荷不足将直接侵蚀毛利；四是存货减值，原料与成品价格下跌期计提的减值可能大幅拉低当期利润。对丰元化学而言，穿越本轮周期的关键在于绑定头部客户以保障负荷，并通过技术升级提升产品溢价。</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质量应关注应收账款（头部客户账期较长）、存货（锂盐与正极材料受价格下跌影响存在减值风险）及固定资产（多基地产线，重资产）。在行业价格下行期，需警惕存货跌价与长账龄应收。建议核查坏账计提政策与存货周转天数。</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公司2025年资产负债率升至68.62%，有息债务规模较大，偿债压力上升。建议核查授信品种构成、期限结构、短期借款占比及抵质押安排，防范期限错配与再融资风险。</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丰元化学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公司2025年经营现金流净额-2.13亿元，由正转负，显示主业造血能力弱化。建议获取近三年现金流量表与主要银行账户流水，验证销售回款真实性与资本开支匹配度，并编制未来资金收支计划。</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丰元化学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同业对标可选取正极材料上市企业作为参照，关注其毛利率、产能利用率与经营现金流水平。需注意丰元化学多基地布局与头部客户绑定，与同业在结构上存在差异，对比时应考虑结构性。</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作为上市公司，丰元化学须建立股东大会、董事会、监事会与经理层各司其职、有效制衡的治理结构，设立独立董事及专门委员会，并将党的领导融入公司治理（如适用）。治理有效性的判断应考察制度实际运行与重大事项决策留痕。</w:t>
      </w:r>
    </w:p>
    <w:p>
      <w:pPr>
        <w:spacing w:lineRule="exact" w:line="600" w:before="0" w:after="0"/>
        <w:ind w:firstLine="420"/>
        <w:jc w:val="both"/>
      </w:pPr>
      <w:r>
        <w:rPr>
          <w:rFonts w:ascii="仿宋_GB2312" w:hAnsi="仿宋_GB2312" w:eastAsia="仿宋_GB2312"/>
          <w:b w:val="0"/>
          <w:color w:val="000000"/>
          <w:sz w:val="32"/>
        </w:rPr>
        <w:t>作为上市公司（或上市公司体系内主体），丰元化学须建立股东大会、董事会、监事会（或审计委员会）与经理层各司其职、有效制衡的治理结构，设立独立董事并在董事会下设审计、薪酬与考核、战略等专门委员会，制定并执行《公司章程》《三会议事规则》《关联交易管理制度》《对外担保管理制度》《信息披露管理制度》《内幕信息知情人登记制度》等规范。治理有效性的判断不应停留于制度是否齐备，而应考察制度的实际运行：独立董事是否发表过实质性异议、关联交易是否履行回避表决程序、内部审计是否独立向审计委员会报告、是否存在被监管部门问询、警示或处罚的记录。</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构成、任职经历与激励机制未公开披露。作为民营上市企业，其管理层市场化程度较高，但激励机制的长期性是普遍短板。在业绩承压期，核心管理与技术骨干的稳定性尤为关键，建议核查是否建立与经营成果挂钩的中长期激励。</w:t>
      </w:r>
    </w:p>
    <w:p>
      <w:pPr>
        <w:spacing w:lineRule="exact" w:line="600" w:before="0" w:after="0"/>
        <w:ind w:firstLine="420"/>
        <w:jc w:val="both"/>
      </w:pPr>
      <w:r>
        <w:rPr>
          <w:rFonts w:ascii="仿宋_GB2312" w:hAnsi="仿宋_GB2312" w:eastAsia="仿宋_GB2312"/>
          <w:b w:val="0"/>
          <w:color w:val="000000"/>
          <w:sz w:val="32"/>
        </w:rPr>
        <w:t>民营与外资企业管理层市场化程度较高，但激励机制的长期性是普遍短板。评价要点包括：核心管理与技术骨干的任职年限与稳定性、是否建立与经营成果挂钩的中长期激励（股权、期权、虚拟股、超额奖励）、关键岗位是否存在"一人不可替代"的单点依赖、以及是否签订竞业限制与保密协议以保护技术资产。</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公司员工总数、学历与专业结构、参保人数未公开披露。作为正极材料制造企业，生产与研发人员占比较高。建议核查研发人员占比、核心团队稳定性及流动率。</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枣庄高新区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公司内控体系应覆盖资金管理、采购与销售、存货与资产、关联交易及信息系统等环节。作为上市公司，其信息系统集成度较高。建议核查其内控审计结论及近三年是否存在重大内控缺陷。</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集中体现在高性能正极材料的工程化能力上。其研发的高性能高压实密度磷酸铁锂质量优于行业主流水平，有助于避开低价内卷。技术壁垒的实质是"可持续的不可替代性"，持续的研发投入与客户联合开发深度决定锁定效应。</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丰元化学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公司成本优势来源于多基地（枣庄、安庆、玉溪）布局的区域成本优化、规模化产能的单位摊薄，以及与头部客户绑定的订单保障带来的产能利用率优势。属结构性优势。</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B端大客户壁垒表现为电池企业合格供应商认证与联合开发深度，进入需多轮审核与长期验证。丰元化学已成为宁德时代合格供应商并与比亚迪签订多年框架，客户锁定扎实。</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枣庄高新区锂电新能源集群为丰元化学提供了要素共享、知识溢出与市场匹配三类外部经济，特别是从材料到回收的全链条生态、就近配套，以及园区对新能源材料项目的要素保障。</w:t>
      </w:r>
    </w:p>
    <w:p>
      <w:pPr>
        <w:spacing w:lineRule="exact" w:line="600" w:before="0" w:after="0"/>
        <w:ind w:firstLine="420"/>
        <w:jc w:val="both"/>
      </w:pPr>
      <w:r>
        <w:rPr>
          <w:rFonts w:ascii="仿宋_GB2312" w:hAnsi="仿宋_GB2312" w:eastAsia="仿宋_GB2312"/>
          <w:b w:val="0"/>
          <w:color w:val="000000"/>
          <w:sz w:val="32"/>
        </w:rPr>
        <w:t>枣庄高新区锂电新能源特色产业集群为丰元化学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丰元化学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锂电产业链在经历高速扩张后，正处于产能出清与结构调整阶段。碳酸锂等关键原料价格大幅波动、正极材料加工费持续下行、电芯环节产能利用率分化，构成最突出的周期风险。技术路线迭代（固态电池、磷酸锰铁锂等）可能使既有产线面临技术性贬值。</w:t>
      </w:r>
    </w:p>
    <w:p>
      <w:pPr>
        <w:spacing w:lineRule="exact" w:line="600" w:before="0" w:after="0"/>
        <w:ind w:firstLine="420"/>
        <w:jc w:val="both"/>
      </w:pPr>
      <w:r>
        <w:rPr>
          <w:rFonts w:ascii="仿宋_GB2312" w:hAnsi="仿宋_GB2312" w:eastAsia="仿宋_GB2312"/>
          <w:b w:val="0"/>
          <w:color w:val="000000"/>
          <w:sz w:val="32"/>
        </w:rPr>
        <w:t>锂电产业链在经历高速扩张后，正处于产能出清与结构调整阶段。碳酸锂等关键原料价格大幅波动、正极材料加工费持续下行、电芯环节产能利用率分化，构成该行业当前最突出的周期风险。同时，技术路线迭代（如固态电池、钠离子电池、磷酸锰铁锂等）可能使既有产线面临技术性贬值，重资产投入的回收期存在不确定性。建议在评估此类项目时严格审视在手订单与客户绑定的真实性。</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竞争风险的现实表现是价格战与份额侵蚀。正极材料环节产能过剩、加工费压缩，丰元化学需在产品性能与客户绑定上构筑非价格竞争优势。建议企业以高性能产品与头部客户深度合作抵御价格战。</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丰元化学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客户集中度方面，若收入依赖比亚迪、宁德时代等少数头部客户，单一客户变动会造成冲击。建议建立客户信用评级与额度管理，并运用信用保险、保理等工具转移风险。</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供应链风险集中于锂盐、磷酸铁等关键原料，价格波动剧烈。建议核查关键材料清单、长协覆盖比例与库存周转，以及是否存在断供风险。</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化工与电池材料生产涉及易燃易爆、有毒有害物料，安全环保风险是"一票否决"性质的风险。合规要点包括安全生产标准化达标、重大危险源监控、排污许可证执行报告、危废合法处置与转移联单管理等。建议将近三年安全环保行政处罚记录查询列为授信前置条件。</w:t>
      </w:r>
    </w:p>
    <w:p>
      <w:pPr>
        <w:spacing w:lineRule="exact" w:line="600" w:before="0" w:after="0"/>
        <w:ind w:firstLine="420"/>
        <w:jc w:val="both"/>
      </w:pPr>
      <w:r>
        <w:rPr>
          <w:rFonts w:ascii="仿宋_GB2312" w:hAnsi="仿宋_GB2312" w:eastAsia="仿宋_GB2312"/>
          <w:b w:val="0"/>
          <w:color w:val="000000"/>
          <w:sz w:val="32"/>
        </w:rPr>
        <w:t>化工与电池材料生产涉及易燃易爆、有毒有害物料，安全环保风险是该类企业最具"一票否决"性质的风险类别。一次较大事故不仅带来直接损失与行政处罚，更可能触发停产整顿、项目暂停审批乃至园区连带整治，对企业现金流造成毁灭性打击。合规要点包括安全生产标准化达标、重大危险源监控、特殊作业许可管理、双重预防机制运行、排污许可证执行报告、危废合法处置与转移联单管理等。建议将近三年安全环保行政处罚记录查询列为授信前置条件，并在贷后管理中持续监测。</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公司2025年资产负债率68.62%、经营现金流-2.13亿元、连续三年亏损，债务风险已实质上升。建议金融机构重点监测有息负债增长、票据融资占比、关联方资金往来及抵质押资产比例等预警信号。</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治理风险方面，民营企业决策依赖实际控制人，存在关联交易不规范、资金管理混同隐患。连续亏损下需特别关注实际控制人风险向企业传导。建议核查关联交易合规与重大事项决策留痕。</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丰元化学当前处于行业周期下行导致的阶段性困难：连续三年亏损、负债率攀升至68.62%、经营现金流转负，是其最核心的风险来源；但其31.5万吨产能规模、头部客户（比亚迪、宁德时代）绑定与高性能产品布局构成修复基础。整体风险等级中等偏高，对其授信应严格设置前提条件并动态监测。</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从资金用途看，丰元化学的融资需求主要源于营运资金与产线建设：多基地31.5万吨产能的资本开支、原料采购周转均需资金支持；在亏损与负债率上升背景下，其资金需求以周转性为主，同时存在债务结构优化需求。</w:t>
      </w:r>
    </w:p>
    <w:p>
      <w:pPr>
        <w:spacing w:lineRule="exact" w:line="600" w:before="0" w:after="0"/>
        <w:ind w:firstLine="420"/>
        <w:jc w:val="both"/>
      </w:pPr>
      <w:r>
        <w:rPr>
          <w:rFonts w:ascii="仿宋_GB2312" w:hAnsi="仿宋_GB2312" w:eastAsia="仿宋_GB2312"/>
          <w:b w:val="0"/>
          <w:color w:val="000000"/>
          <w:sz w:val="32"/>
        </w:rPr>
        <w:t>从资金用途看，丰元化学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商业保理方面，丰元化学对下游比亚迪、宁德时代等头部客户的优质应收账款可作明保标的，且买方信用高，适配性较好；需做好基础资产确权与回款路径封闭管理。</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丰元化学，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供应链金融方面，丰元化学可作为核心企业，依托自身信用开展反向保理帮助上游锂盐与材料供应商提前回款；亦可依托下游头部客户的订单与应付确认开展订单融资。</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丰元化学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融资租赁方面，丰元化学属于设备与装置投入密集型企业，可通过直接租赁更新产线与检测设备，通过售后回租盘活通用设备补充中长期资金。风控要点在于设备通用性与可处置性。</w:t>
      </w:r>
    </w:p>
    <w:p>
      <w:pPr>
        <w:spacing w:lineRule="exact" w:line="600" w:before="0" w:after="0"/>
        <w:ind w:firstLine="420"/>
        <w:jc w:val="both"/>
      </w:pPr>
      <w:r>
        <w:rPr>
          <w:rFonts w:ascii="仿宋_GB2312" w:hAnsi="仿宋_GB2312" w:eastAsia="仿宋_GB2312"/>
          <w:b w:val="0"/>
          <w:color w:val="000000"/>
          <w:sz w:val="32"/>
        </w:rPr>
        <w:t>丰元化学属于设备与装置投入密集型企业，融资租赁具有较强适配性。可行模式有二：一是直接租赁，用于新增产线、检测设备、环保设施与智能化改造设备的购置，租期三至五年、首付比例一至三成，租金与设备产生的现金流相匹配；二是售后回租，以企业现有权属清晰、成新率较高的通用性设备为标的盘活存量资产，补充中长期资金并改善债务期限结构。风控要点在于设备的通用性与可处置性——高度定制化、与装置不可分离的设备残值处置难度大，应审慎评估并适度降低融资比例。</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小额贷款方面，适配于丰元化学链上配套小微企业的应急周转与批量普惠授信，成本高于银行信贷，不宜作为长期主渠道。</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丰元化学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综合上述分析，建议对丰元化学采取审慎的组合策略：在盈利修复前，以真实交易背景的短期自偿性融资为主，匹配其周转性资金需求；并视情况以融资租赁优化债务结构。共通风控要点包括交易真实性核验、回款路径封闭管理、关联交易排查及行业景气度跟踪。</w:t>
      </w:r>
    </w:p>
    <w:p>
      <w:pPr>
        <w:spacing w:lineRule="exact" w:line="600" w:before="0" w:after="0"/>
        <w:ind w:firstLine="420"/>
        <w:jc w:val="both"/>
      </w:pPr>
      <w:r>
        <w:rPr>
          <w:rFonts w:ascii="仿宋_GB2312" w:hAnsi="仿宋_GB2312" w:eastAsia="仿宋_GB2312"/>
          <w:b w:val="0"/>
          <w:color w:val="000000"/>
          <w:sz w:val="32"/>
        </w:rPr>
        <w:t>综合上述分析，建议对丰元化学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丰元化学是枣庄锂电正极材料核心企业，"枣庄第一股"，已建成及在建磷酸铁锂合计31.5万吨、规模居国内前列，并已绑定比亚迪、宁德时代等头部客户。但受行业周期下行影响，2023—2025年连续亏损、负债率升至68.62%，当前处于阶段性困难期，其修复取决于行业景气回升与头部客户订单放量。</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随着锂电行业产能出清与需求持续增长，丰元化学依托头部客户绑定与高性能产品布局，有望随行业景气回升改善盈利。2026年拟定向增发募资不超过14.28亿元投入产能扩建与补流，若落地将缓解资金压力。建议关注其盈利转正节奏与再融资进展。</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建议丰元化学在三个方面持续改进：一是全力推进降本与产品升级，尽快实现盈利转正；二是优化债务结构与期限匹配，控制负债率；三是强化安全环保与质量合规基础管理。</w:t>
      </w:r>
    </w:p>
    <w:p>
      <w:pPr>
        <w:spacing w:lineRule="exact" w:line="600" w:before="0" w:after="0"/>
        <w:ind w:firstLine="420"/>
        <w:jc w:val="both"/>
      </w:pPr>
      <w:r>
        <w:rPr>
          <w:rFonts w:ascii="仿宋_GB2312" w:hAnsi="仿宋_GB2312" w:eastAsia="仿宋_GB2312"/>
          <w:b w:val="0"/>
          <w:color w:val="000000"/>
          <w:sz w:val="32"/>
        </w:rPr>
        <w:t>此外，建议丰元化学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对金融机构而言，服务丰元化学应秉持"底线思维+动态跟踪"：在盈利修复前审慎介入、以自偿性短期融资为主，并将行业景气度与头部客户订单恢复作为授信调整的核心观察指标。</w:t>
      </w:r>
    </w:p>
    <w:p>
      <w:pPr>
        <w:spacing w:lineRule="exact" w:line="600" w:before="0" w:after="0"/>
        <w:ind w:firstLine="420"/>
        <w:jc w:val="both"/>
      </w:pPr>
      <w:r>
        <w:rPr>
          <w:rFonts w:ascii="仿宋_GB2312" w:hAnsi="仿宋_GB2312" w:eastAsia="仿宋_GB2312"/>
          <w:b w:val="0"/>
          <w:color w:val="000000"/>
          <w:sz w:val="32"/>
        </w:rPr>
        <w:t>总体而言，服务枣庄高新区锂电新能源特色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山东丰元化学股份有限公司2023年、2024年年度报告及2025年第三季度报告。</w:t>
      </w:r>
    </w:p>
    <w:p>
      <w:pPr>
        <w:spacing w:lineRule="exact" w:line="600" w:before="0" w:after="0"/>
        <w:jc w:val="left"/>
      </w:pPr>
      <w:r>
        <w:rPr>
          <w:rFonts w:ascii="仿宋_GB2312" w:hAnsi="仿宋_GB2312" w:eastAsia="仿宋_GB2312"/>
          <w:b w:val="0"/>
          <w:color w:val="000000"/>
          <w:sz w:val="28"/>
        </w:rPr>
        <w:t>枣庄高新区公开产业介绍材料（2024—2025）。</w:t>
      </w:r>
    </w:p>
    <w:p>
      <w:pPr>
        <w:spacing w:lineRule="exact" w:line="600" w:before="0" w:after="0"/>
        <w:jc w:val="left"/>
      </w:pPr>
      <w:r>
        <w:rPr>
          <w:rFonts w:ascii="仿宋_GB2312" w:hAnsi="仿宋_GB2312" w:eastAsia="仿宋_GB2312"/>
          <w:b w:val="0"/>
          <w:color w:val="000000"/>
          <w:sz w:val="28"/>
        </w:rPr>
        <w:t>企业公开宣传与媒体报道。</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