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梁山县教辅特色产业集群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山东金榜苑文化传媒有限责任公司企业分析报告</w:t>
      </w:r>
    </w:p>
    <w:p>
      <w:pPr>
        <w:spacing w:lineRule="exact" w:line="600" w:before="0" w:after="0"/>
        <w:jc w:val="left"/>
      </w:pPr>
      <w:r>
        <w:rPr>
          <w:rFonts w:ascii="仿宋_GB2312" w:hAnsi="仿宋_GB2312" w:eastAsia="仿宋_GB2312"/>
          <w:b w:val="0"/>
          <w:color w:val="000000"/>
          <w:sz w:val="28"/>
        </w:rPr>
        <w:t>（本报告基于天眼查/爱企查/企查查工商信息、百度百科、公开媒体报道及公司披露信息整理，统计时点截至最新披露信息。该公司为非上市民营企业，未公开披露经审计财务报表，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金榜苑文化传媒有限责任公司（曾用名：山东金榜苑图书有限公司）成立于2004年12月3日，统一社会信用代码为91370832769712410W，法定代表人为王朝银（任执行董事），经理王朝君，监事王朝安。公司注册地址位于山东省济宁市梁山县经济开发区樱花路1号，登记机关为梁山县市场监督管理局，营业期限自2004年12月3日至无固定期限。</w:t>
      </w:r>
    </w:p>
    <w:p>
      <w:pPr>
        <w:spacing w:lineRule="exact" w:line="600" w:before="0" w:after="0"/>
        <w:ind w:firstLine="420"/>
        <w:jc w:val="both"/>
      </w:pPr>
      <w:r>
        <w:rPr>
          <w:rFonts w:ascii="仿宋_GB2312" w:hAnsi="仿宋_GB2312" w:eastAsia="仿宋_GB2312"/>
          <w:b w:val="0"/>
          <w:color w:val="000000"/>
          <w:sz w:val="32"/>
        </w:rPr>
        <w:t>公司企业类型为有限责任公司，注册资本7,000万元人民币（已全额实缴），所属行业为零售业/软件和信息服务业。股东为王朝银持股70%（认缴4,900万元，任法定代表人，系实际控制人）、王朝安持股30%（认缴2,100万元，任监事）。公司系增值税一般纳税人，参保人数约319人（2025年年报口径，历史年份在616—702人区间波动），具有出版物全国总发行资质。</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有限责任公司，股权集中于王朝银、王朝安家族成员。公司对外投资7家企业、设4家分支机构，形成以教辅研发发行、数字出版、教育装备与技术为核心的业务群。注册地址与山东经典印务有限责任公司同处梁山经济开发区樱花路1号，体现产业链上下游协同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山东金榜苑图书有限公司，2016年注册资本由3,600万元增至7,000万元，2017年经营范围扩展至教育装备、计算机软硬件与智能系统工程，由传统教辅向"数字出版+教育科技"转型。2025年获省级企业技术中心、省级专精特新中小企业、省级创新型中小企业认定；2022年获"全国版权示范单位"称号；2012年入选"山东十佳民营文化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集基础教育研究、教育产品研发和教育教学服务三位一体的综合性文化传媒与数字出版企业，是梁山县教辅特色产业集群的龙头企业。主营业务包括图书期刊报纸及电子出版物批发零售、网络发行，图书策划研发、版面设计、文字校对，教育装备与计算机软硬件开发销售，安防设备软件与智能系统工程。核心产品为教辅图书、数字出版内容及大数据AI精准教学系统，业务覆盖全国约5,000所学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分为教辅图书策划发行（传统主业）、数字出版与大数据AI精准教学（转型方向）、教育装备与系统集成三大板块。公开资料未披露分板块收入占比；据披露，公司投资超10亿元建设数字出版文化产业园后，产品更新率超过60%、与课标考纲符合率达100%，数字化业务比重显著提升。</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核心产品包括"金榜苑（JBY）"系列教辅图书、电子出版物、数字出版内容，以及基于大数据与人工智能的精准教学系统（覆盖约5,000所学校）。公司同时提供教育装备、多媒体教学设备与智能系统网络工程服务。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公司客户以全国中小学、教育行政部门、书店渠道及终端师生用户为主，线下通过出版物总发行网络覆盖，线上通过"91淘课""新教育"等平台触达。具体客户名单未公开披露。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生产端主要依赖关联印刷企业（如山东经典印务）完成印装，自持策划研发与发行环节；纸张、印刷与物流为主要采购项。具体供应商信息未公开披露。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有出版物全国总发行资质，投资超10亿元建设数字出版文化产业园，生产效率提升20%、综合成本降低20%。拥有注册商标44项、专利15项、软件著作权61项，系高新技术企业、省级企业技术中心、省级专精特新中小企业、省级创新型中小企业、全国版权示范单位。</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公司采取"总发行网络+电商平台+数字订阅"模式，依托出版物全国总发行资质与"91淘课""新教育"等线上平台，构建覆盖学校的B端与师生C端渠道。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公开资料未披露公司近三年营业收入、利润等具体经营数据。已知其数字出版文化产业园投资超10亿元、精准教学覆盖约5,000所学校、产品更新率超60%，但量化营收与市占率未公开，故不做具体表述。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山东金榜苑文化传媒有限责任公司为非上市民营企业，未公开披露经审计年度财务报表，财务数据未公开披露。以下列示可公开获取的资本与人员信息：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2004-12-03</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7,000万元（已实缴）</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有限责任公司（自然人控股）</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5669"/>
          </w:tcPr>
          <w:p>
            <w:pPr>
              <w:spacing w:lineRule="exact" w:line="600"/>
              <w:jc w:val="center"/>
            </w:pPr>
            <w:r/>
            <w:r>
              <w:rPr>
                <w:rFonts w:ascii="仿宋_GB2312" w:hAnsi="仿宋_GB2312" w:eastAsia="仿宋_GB2312"/>
                <w:b w:val="0"/>
                <w:color w:val="000000"/>
                <w:sz w:val="32"/>
              </w:rPr>
              <w:t>王朝银（持股70%，实控人）</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5669"/>
          </w:tcPr>
          <w:p>
            <w:pPr>
              <w:spacing w:lineRule="exact" w:line="600"/>
              <w:jc w:val="center"/>
            </w:pPr>
            <w:r/>
            <w:r>
              <w:rPr>
                <w:rFonts w:ascii="仿宋_GB2312" w:hAnsi="仿宋_GB2312" w:eastAsia="仿宋_GB2312"/>
                <w:b w:val="0"/>
                <w:color w:val="000000"/>
                <w:sz w:val="32"/>
              </w:rPr>
              <w:t>约319人（2025年年报）</w:t>
            </w:r>
          </w:p>
        </w:tc>
      </w:tr>
      <w:tr>
        <w:tc>
          <w:tcPr>
            <w:tcW w:type="dxa" w:w="2835"/>
          </w:tcPr>
          <w:p>
            <w:pPr>
              <w:spacing w:lineRule="exact" w:line="600"/>
              <w:jc w:val="center"/>
            </w:pPr>
            <w:r/>
            <w:r>
              <w:rPr>
                <w:rFonts w:ascii="仿宋_GB2312" w:hAnsi="仿宋_GB2312" w:eastAsia="仿宋_GB2312"/>
                <w:b w:val="0"/>
                <w:color w:val="000000"/>
                <w:sz w:val="32"/>
              </w:rPr>
              <w:t>重大投资</w:t>
            </w:r>
          </w:p>
        </w:tc>
        <w:tc>
          <w:tcPr>
            <w:tcW w:type="dxa" w:w="5669"/>
          </w:tcPr>
          <w:p>
            <w:pPr>
              <w:spacing w:lineRule="exact" w:line="600"/>
              <w:jc w:val="center"/>
            </w:pPr>
            <w:r/>
            <w:r>
              <w:rPr>
                <w:rFonts w:ascii="仿宋_GB2312" w:hAnsi="仿宋_GB2312" w:eastAsia="仿宋_GB2312"/>
                <w:b w:val="0"/>
                <w:color w:val="000000"/>
                <w:sz w:val="32"/>
              </w:rPr>
              <w:t>数字出版文化产业园投资超10亿元</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指标无法量化。公司资本实力以注册资本7,000万元及超10亿元产业园投资为参照；作为教辅龙头，建议获取审计报告或银行授信资料后补充分析。需关注"双减"政策对K12教辅需求的长期影响。</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王朝银）、经理（王朝君）、监事（王朝安），治理简洁、决策集中。股权家族化特征明显，需关注代际传承与内控独立性。作为全国总发行资质企业，接受新闻出版与版权部门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法定代表人、执行董事王朝银主导战略；经理王朝君负责经营；监事王朝安履行监督职责。核心团队在教辅策划与发行领域积累深厚。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公司通过省级企业技术中心与数字化产业园建立研发与质量体系，拥有61项软件著作权支撑数字出版合规运营；作为版权示范单位，版权与内容合规管理较为规范。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参保人数约319人（2025年年报，历史年份616—702人），人员规模较大且波动，反映教辅行业季节性用工特征。公司拥有44项商标、61项软著，研发与内容团队是核心人力资本。</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牌照与资质壁垒：拥有出版物全国总发行资质、高新技术企业、省级企业技术中心等稀缺资质。二是内容研发壁垒：多年教辅策划积累与44项商标、61项软著构成内容与知识产权壁垒。三是渠道壁垒：覆盖全国约5,000所学校的精准教学网络与总发行体系。四是资本与园区壁垒：超10亿元数字出版产业园形成重资产与规模门槛。五是品牌壁垒："金榜苑"品牌与全国版权示范单位公信力。</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核心风险为"双减"政策持续压缩K12学科类教辅需求，公司虽向素质教育、精准教学与数字出版转型，但转型成效与政策边界仍需观察；教辅行业竞争激烈、同质化严重。</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公开信息显示公司存在一定数量立案信息（约11件）与开庭公告，未发现重大违法违规处罚。作为非上市企业，财务透明度低，超10亿元投资的回收周期与负债结构需关注。</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公司通过数字化转型（数字出版、AI精准教学）开辟增量、以产业园提升效率与降本，并拓展教育装备与系统集成，降低对传统教辅的依赖。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数字出版产业园建设、研发投入与季节性纸张/印装采购的资金需求，山东投资可切入：一是供应链金融，围绕纸张采购与印刷委外提供保理与预付融资；二是融资租赁，为数字出版与智能印装设备提供直租/回租；三是商业保理，盘活其对渠道与学校的应收账款；四是小额贷款，满足版权内容与研发周转。需关注政策风险，设置与合规经营挂钩的授信条件。</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山东金榜苑文化传媒有限责任公司是梁山教辅产业集群的龙头，牌照、内容研发、渠道与产业园构成综合优势，但受"双减"政策制约，转型成败是关键变量。</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据行业趋势，教育数字化与精准教学为政策鼓励方向，公司AI精准教学与数字出版有望承接转型红利；教育装备与素质教育内容拓展新增长极。</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主要挑战在于"双减"下传统教辅收缩、数字化转型投入大回收周期长、政策合规边界与同业竞争。</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教辅产业链的核心战略客户，优先以供应链金融与融资租赁切入，支持其合规的数字出版与教育科技业务；授信须设置政策合规与内容审查约束。综合评级：产业链地位突出但受政策影响显著的审慎战略合作型客户。</w:t>
      </w:r>
    </w:p>
    <w:p>
      <w:pPr>
        <w:spacing w:lineRule="exact" w:line="600" w:before="0" w:after="0"/>
        <w:jc w:val="left"/>
      </w:pPr>
      <w:r>
        <w:rPr>
          <w:rFonts w:ascii="仿宋_GB2312" w:hAnsi="仿宋_GB2312" w:eastAsia="仿宋_GB2312"/>
          <w:b w:val="0"/>
          <w:color w:val="000000"/>
          <w:sz w:val="28"/>
        </w:rPr>
        <w:t>数据来源说明：本报告数据来源于天眼查/爱企查/企查查工商与股权、知识产权信息，百度百科企业词条，公开媒体报道及公司披露的投资与覆盖学校数据。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