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汶上县休闲服饰制造特色产业集群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济宁七七服饰股份有限公司企业分析报告</w:t>
      </w:r>
    </w:p>
    <w:p>
      <w:pPr>
        <w:spacing w:lineRule="exact" w:line="600" w:before="0" w:after="0"/>
        <w:jc w:val="left"/>
      </w:pPr>
      <w:r>
        <w:rPr>
          <w:rFonts w:ascii="仿宋_GB2312" w:hAnsi="仿宋_GB2312" w:eastAsia="仿宋_GB2312"/>
          <w:b w:val="0"/>
          <w:color w:val="000000"/>
          <w:sz w:val="28"/>
        </w:rPr>
        <w:t>（本报告基于天眼查/爱企查/百度百科工商与公开信息整理，统计时点截至最新披露信息。该公司为非上市股份有限公司（齐鲁股权交易中心挂牌），未公开披露经审计财务报表，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济宁七七服饰股份有限公司（曾用名：济宁七七服饰有限公司）成立于2009年12月18日，统一社会信用代码为91370830698091097G，法定代表人为杨峰（任董事兼总经理），董事长王德华。公司注册地址位于山东省济宁市汶上县经济开发区如意路77号，登记机关为济宁市市场监督管理局，营业期限自2009年12月18日至无固定期限。</w:t>
      </w:r>
    </w:p>
    <w:p>
      <w:pPr>
        <w:spacing w:lineRule="exact" w:line="600" w:before="0" w:after="0"/>
        <w:ind w:firstLine="420"/>
        <w:jc w:val="both"/>
      </w:pPr>
      <w:r>
        <w:rPr>
          <w:rFonts w:ascii="仿宋_GB2312" w:hAnsi="仿宋_GB2312" w:eastAsia="仿宋_GB2312"/>
          <w:b w:val="0"/>
          <w:color w:val="000000"/>
          <w:sz w:val="32"/>
        </w:rPr>
        <w:t>公司企业类型为股份有限公司（非上市、自然人投资或控股），注册资本200万元人民币（已全额实缴），所属行业为纺织服装、服饰业。股权结构为山东长和投资管理有限公司持股35%、泰安谊华投资有限公司持股35%、杨峰持股30%（董事长王德华通过山东长和投资等间接控制，系实际控制人）。公司系增值税一般纳税人，参保人数约118人（2025年年报口径），系小微企业。2018年8月改制为股份有限公司，同年11月在齐鲁股权交易中心挂牌。</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投资机构持股的非上市股份有限公司，设董事会（董事长王德华、董事兼总经理杨峰等）与监事会（监事孟辉、杨春生、杨宜青）。业务聚焦服装加工销售与自主品牌运营，下设新零售创新中心与网络直播孵化中心。</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2009年以"济宁七七服饰有限公司"设立，2018年8月改制为股份有限公司、11月齐鲁股权交易中心挂牌；2020年投资建设汶上县新零售创新中心，注册资本由142.86万元变更为200万元、法定代表人变更为杨峰；2021—2022年启动自主品牌研发，开发"青恋子"品牌校服、"泉之莲"工装；2022年网络直播孵化中心投入运行；2023年列入济宁市纺织服装企业"攀登工程"名单；2024年"年产200万件服装自动化改造项目"进入规划公示。</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集产品研发、服装生产、成品展销与自主品牌运营于一体的服装企业，是汶上休闲服饰产业集群中发展自主品牌的代表性企业。主营业务包括服装加工销售、服装面辅料销售、货物与技术进出口。核心产品为代工服装及自主品牌"青恋子"校服、"泉之莲"工装，拥有智能生产设备600余套，年生产能力达500万套（件）。</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公司业务分为服装代工（基础主业）与自主品牌运营（"青恋子"校服、"泉之莲"工装，增量方向）两大板块，并通过新零售创新中心与直播孵化中心拓展销售渠道。公开资料未披露分板块收入占比。</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核心产品为各类服装（年产能500万套/件），包括代工服装与自主品牌"青恋子"校服、"泉之莲"工装；拥有"泉之莲"注册商标（第25类）。公司配备智能生产设备600余套，支撑规模化与柔性生产。</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代工客户以服装品牌与渠道商为主，自主品牌"青恋子"面向校服市场、"泉之莲"面向工装市场。具体客户名单未公开披露。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生产投入以面料、辅料及设备耗材为主，依托汶上服装集群配套。具体供应商信息未公开披露。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公司拥有智能生产设备600余套，年产能500万套（件），建有汶上县新零售创新中心与网络直播孵化中心，持有"泉之莲"等商标，具货物与技术进出口资质，系齐鲁股权交易中心挂牌企业、济宁市"攀登工程"企业。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公司采取"代工+自主品牌+新零售"模式，线下通过代工与校服/工装渠道，线上通过直播孵化中心（2022年运行）与新零售创新中心（2020年建设）拓展，参与中国国际服装服饰博览会等行业展会。</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公开资料提及公司年产能500万套（件）、智能设备600余套，但近三年营业收入、利润等具体经营数据与精确市占率未公开披露，故不做量化表述。</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济宁七七服饰股份有限公司为非上市股份有限公司（齐鲁股权交易中心挂牌），未公开披露经审计年度财务报表，财务数据未公开披露。以下列示可公开获取的资本与人员信息：</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指标</w:t>
            </w:r>
          </w:p>
        </w:tc>
        <w:tc>
          <w:tcPr>
            <w:tcW w:type="dxa" w:w="5669"/>
          </w:tcPr>
          <w:p>
            <w:pPr>
              <w:spacing w:lineRule="exact" w:line="600"/>
              <w:jc w:val="center"/>
            </w:pPr>
            <w:r/>
            <w:r>
              <w:rPr>
                <w:rFonts w:ascii="黑体" w:hAnsi="黑体" w:eastAsia="黑体"/>
                <w:b/>
                <w:color w:val="000000"/>
                <w:sz w:val="32"/>
              </w:rPr>
              <w:t>数据</w:t>
            </w:r>
          </w:p>
        </w:tc>
      </w:tr>
      <w:tr>
        <w:tc>
          <w:tcPr>
            <w:tcW w:type="dxa" w:w="2835"/>
          </w:tcPr>
          <w:p>
            <w:pPr>
              <w:spacing w:lineRule="exact" w:line="600"/>
              <w:jc w:val="center"/>
            </w:pPr>
            <w:r/>
            <w:r>
              <w:rPr>
                <w:rFonts w:ascii="仿宋_GB2312" w:hAnsi="仿宋_GB2312" w:eastAsia="仿宋_GB2312"/>
                <w:b w:val="0"/>
                <w:color w:val="000000"/>
                <w:sz w:val="32"/>
              </w:rPr>
              <w:t>成立时间</w:t>
            </w:r>
          </w:p>
        </w:tc>
        <w:tc>
          <w:tcPr>
            <w:tcW w:type="dxa" w:w="5669"/>
          </w:tcPr>
          <w:p>
            <w:pPr>
              <w:spacing w:lineRule="exact" w:line="600"/>
              <w:jc w:val="center"/>
            </w:pPr>
            <w:r/>
            <w:r>
              <w:rPr>
                <w:rFonts w:ascii="仿宋_GB2312" w:hAnsi="仿宋_GB2312" w:eastAsia="仿宋_GB2312"/>
                <w:b w:val="0"/>
                <w:color w:val="000000"/>
                <w:sz w:val="32"/>
              </w:rPr>
              <w:t>2009-12-18</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5669"/>
          </w:tcPr>
          <w:p>
            <w:pPr>
              <w:spacing w:lineRule="exact" w:line="600"/>
              <w:jc w:val="center"/>
            </w:pPr>
            <w:r/>
            <w:r>
              <w:rPr>
                <w:rFonts w:ascii="仿宋_GB2312" w:hAnsi="仿宋_GB2312" w:eastAsia="仿宋_GB2312"/>
                <w:b w:val="0"/>
                <w:color w:val="000000"/>
                <w:sz w:val="32"/>
              </w:rPr>
              <w:t>200万元（已实缴）</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5669"/>
          </w:tcPr>
          <w:p>
            <w:pPr>
              <w:spacing w:lineRule="exact" w:line="600"/>
              <w:jc w:val="center"/>
            </w:pPr>
            <w:r/>
            <w:r>
              <w:rPr>
                <w:rFonts w:ascii="仿宋_GB2312" w:hAnsi="仿宋_GB2312" w:eastAsia="仿宋_GB2312"/>
                <w:b w:val="0"/>
                <w:color w:val="000000"/>
                <w:sz w:val="32"/>
              </w:rPr>
              <w:t>股份有限公司（非上市、自然人控股）</w:t>
            </w:r>
          </w:p>
        </w:tc>
      </w:tr>
      <w:tr>
        <w:tc>
          <w:tcPr>
            <w:tcW w:type="dxa" w:w="2835"/>
          </w:tcPr>
          <w:p>
            <w:pPr>
              <w:spacing w:lineRule="exact" w:line="600"/>
              <w:jc w:val="center"/>
            </w:pPr>
            <w:r/>
            <w:r>
              <w:rPr>
                <w:rFonts w:ascii="仿宋_GB2312" w:hAnsi="仿宋_GB2312" w:eastAsia="仿宋_GB2312"/>
                <w:b w:val="0"/>
                <w:color w:val="000000"/>
                <w:sz w:val="32"/>
              </w:rPr>
              <w:t>控股股东</w:t>
            </w:r>
          </w:p>
        </w:tc>
        <w:tc>
          <w:tcPr>
            <w:tcW w:type="dxa" w:w="5669"/>
          </w:tcPr>
          <w:p>
            <w:pPr>
              <w:spacing w:lineRule="exact" w:line="600"/>
              <w:jc w:val="center"/>
            </w:pPr>
            <w:r/>
            <w:r>
              <w:rPr>
                <w:rFonts w:ascii="仿宋_GB2312" w:hAnsi="仿宋_GB2312" w:eastAsia="仿宋_GB2312"/>
                <w:b w:val="0"/>
                <w:color w:val="000000"/>
                <w:sz w:val="32"/>
              </w:rPr>
              <w:t>山东长和投资35%、泰安谊华投资35%、杨峰30%</w:t>
            </w:r>
          </w:p>
        </w:tc>
      </w:tr>
      <w:tr>
        <w:tc>
          <w:tcPr>
            <w:tcW w:type="dxa" w:w="2835"/>
          </w:tcPr>
          <w:p>
            <w:pPr>
              <w:spacing w:lineRule="exact" w:line="600"/>
              <w:jc w:val="center"/>
            </w:pPr>
            <w:r/>
            <w:r>
              <w:rPr>
                <w:rFonts w:ascii="仿宋_GB2312" w:hAnsi="仿宋_GB2312" w:eastAsia="仿宋_GB2312"/>
                <w:b w:val="0"/>
                <w:color w:val="000000"/>
                <w:sz w:val="32"/>
              </w:rPr>
              <w:t>产能</w:t>
            </w:r>
          </w:p>
        </w:tc>
        <w:tc>
          <w:tcPr>
            <w:tcW w:type="dxa" w:w="5669"/>
          </w:tcPr>
          <w:p>
            <w:pPr>
              <w:spacing w:lineRule="exact" w:line="600"/>
              <w:jc w:val="center"/>
            </w:pPr>
            <w:r/>
            <w:r>
              <w:rPr>
                <w:rFonts w:ascii="仿宋_GB2312" w:hAnsi="仿宋_GB2312" w:eastAsia="仿宋_GB2312"/>
                <w:b w:val="0"/>
                <w:color w:val="000000"/>
                <w:sz w:val="32"/>
              </w:rPr>
              <w:t>年产能500万套（件）、设备600余套</w:t>
            </w:r>
          </w:p>
        </w:tc>
      </w:tr>
      <w:tr>
        <w:tc>
          <w:tcPr>
            <w:tcW w:type="dxa" w:w="2835"/>
          </w:tcPr>
          <w:p>
            <w:pPr>
              <w:spacing w:lineRule="exact" w:line="600"/>
              <w:jc w:val="center"/>
            </w:pPr>
            <w:r/>
            <w:r>
              <w:rPr>
                <w:rFonts w:ascii="仿宋_GB2312" w:hAnsi="仿宋_GB2312" w:eastAsia="仿宋_GB2312"/>
                <w:b w:val="0"/>
                <w:color w:val="000000"/>
                <w:sz w:val="32"/>
              </w:rPr>
              <w:t>资质</w:t>
            </w:r>
          </w:p>
        </w:tc>
        <w:tc>
          <w:tcPr>
            <w:tcW w:type="dxa" w:w="5669"/>
          </w:tcPr>
          <w:p>
            <w:pPr>
              <w:spacing w:lineRule="exact" w:line="600"/>
              <w:jc w:val="center"/>
            </w:pPr>
            <w:r/>
            <w:r>
              <w:rPr>
                <w:rFonts w:ascii="仿宋_GB2312" w:hAnsi="仿宋_GB2312" w:eastAsia="仿宋_GB2312"/>
                <w:b w:val="0"/>
                <w:color w:val="000000"/>
                <w:sz w:val="32"/>
              </w:rPr>
              <w:t>齐鲁股权交易中心挂牌、济宁市攀登工程</w:t>
            </w:r>
          </w:p>
        </w:tc>
      </w:tr>
    </w:tbl>
    <w:p>
      <w:pPr>
        <w:spacing w:lineRule="exact" w:line="600" w:before="120" w:after="120"/>
        <w:ind w:firstLine="420"/>
        <w:jc w:val="left"/>
      </w:pPr>
      <w:r>
        <w:rPr>
          <w:rFonts w:ascii="楷体_GB2312" w:hAnsi="楷体_GB2312" w:eastAsia="楷体_GB2312"/>
          <w:b w:val="0"/>
          <w:color w:val="000000"/>
          <w:sz w:val="32"/>
        </w:rPr>
        <w:t>（二）至（六）说明</w:t>
      </w:r>
    </w:p>
    <w:p>
      <w:pPr>
        <w:spacing w:lineRule="exact" w:line="600" w:before="0" w:after="0"/>
        <w:ind w:firstLine="420"/>
        <w:jc w:val="both"/>
      </w:pPr>
      <w:r>
        <w:rPr>
          <w:rFonts w:ascii="仿宋_GB2312" w:hAnsi="仿宋_GB2312" w:eastAsia="仿宋_GB2312"/>
          <w:b w:val="0"/>
          <w:color w:val="000000"/>
          <w:sz w:val="32"/>
        </w:rPr>
        <w:t>因财务数据未公开披露，盈利能力、资产质量、负债与偿债、现金流等关键指标无法量化。公司资本实力以注册资本200万元及500万套年产能为参照；作为小微服装企业，建议获取审计报告或股交中心披露后补充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公司为非上市股份有限公司，设董事会与监事会，2018年改制并挂牌齐鲁股权交易中心，治理相对规范。股权由投资机构与自然人持有，董事长王德华（通过山东长和投资等）为实际控制人。</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董事长王德华主导战略，董事兼总经理杨峰负责经营。核心团队在服装制造与品牌运营领域积累深厚。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公司通过股交中心挂牌规范治理，建立生产质量与新零售运营体系；作为小微企业，内控规范化程度适中。</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参保人数约118人，属劳动密集型；公司拥有600余套智能设备，技工与电商运营（直播孵化）人员是核心人力资本。</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自主品牌壁垒："青恋子"校服、"泉之莲"工装形成品牌资产，区别于纯代工企业。二是产能与设备壁垒：600余套智能设备、500万套年产能支撑规模交付。三是渠道创新壁垒：新零售创新中心与直播孵化中心构建线上线下融合能力。四是资本与政策壁垒：齐鲁股权挂牌与"攀登工程"企业，具备融资与政策对接基础。五是集群壁垒：位于汶上服装产业集群，配套与用工便利。</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服装行业竞争激烈、同质化严重；校服与工装市场受政策与集采影响；自主品牌培育周期长、投入大；原材料价格波动影响成本。</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公司注册资本仅200万元、规模偏小，资本实力有限；公开信息显示曾有买卖合同纠纷诉讼（2019年），未发现重大处罚。作为非上市企业，财务透明度低。</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公司通过自主品牌提升附加值、新零售与直播拓展渠道、自动化改造提效降本、借助股交中心规范治理。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针对公司自动化改造（年产200万件项目）、品牌研发与面料采购的资金需求，山东投资可切入：一是融资租赁，为智能服装设备提供直租/回租；二是供应链金融，围绕面料采购提供保理与预付融资；三是小额贷款，满足自主品牌研发与直播运营周转；四是商业保理，盘活其对代工客户应收账款。需关注其小规模与资本实力，落实资产抵质押。</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济宁七七服饰股份有限公司是汶上休闲服饰产业集群中以自主品牌与新零售为特色的成长型企业，产能与渠道创新突出，但规模偏小、资本实力有限。</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据行业趋势，校服/工装集采与直播电商为增长方向，公司"青恋子""泉之莲"品牌与直播孵化能力有望支撑差异化发展；自动化改造将提升产能与效率。</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主要挑战在于品牌培育投入、规模偏小抗风险能力弱、原材料成本与财务透明度。</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将其作为服装产业链的培育型客户，优先以融资租赁（设备）与小额贷款切入，审慎设定额度并落实抵质押；介入前建议核查经营与诉讼状况。综合评级：品牌与渠道特色突出但规模偏小的成长型合作客户。</w:t>
      </w:r>
    </w:p>
    <w:p>
      <w:pPr>
        <w:spacing w:lineRule="exact" w:line="600" w:before="0" w:after="0"/>
        <w:jc w:val="left"/>
      </w:pPr>
      <w:r>
        <w:rPr>
          <w:rFonts w:ascii="仿宋_GB2312" w:hAnsi="仿宋_GB2312" w:eastAsia="仿宋_GB2312"/>
          <w:b w:val="0"/>
          <w:color w:val="000000"/>
          <w:sz w:val="28"/>
        </w:rPr>
        <w:t>数据来源说明：本报告数据来源于天眼查/爱企查工商信息、百度百科企业词条及公开报道。财务数据因非上市未公开披露，已如实标注，未编造具体数字。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