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汶上县休闲服饰制造特色产业集群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济宁爱丝制衣股份有限公司企业分析报告</w:t>
      </w:r>
    </w:p>
    <w:p>
      <w:pPr>
        <w:spacing w:lineRule="exact" w:line="600" w:before="0" w:after="0"/>
        <w:jc w:val="left"/>
      </w:pPr>
      <w:r>
        <w:rPr>
          <w:rFonts w:ascii="仿宋_GB2312" w:hAnsi="仿宋_GB2312" w:eastAsia="仿宋_GB2312"/>
          <w:b w:val="0"/>
          <w:color w:val="000000"/>
          <w:sz w:val="28"/>
        </w:rPr>
        <w:t>（本报告基于天眼查/爱企查/企查查/启信查工商信息、新华网公开报道及企业披露信息整理，统计时点截至最新披露信息。该公司为非上市股份有限公司，未公开披露经审计财务报表，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济宁爱丝制衣股份有限公司（曾用名：济宁爱丝制衣有限公司，2019年5月15日前使用）成立于2005年4月13日，统一社会信用代码为91370830775252836N，法定代表人为李志鹏（任董事兼总经理），董事长李纪臣。公司注册地址位于山东省济宁市汶上县世纪大道中段，登记机关为济宁市市场监督管理局，营业期限自2005年4月13日至无固定期限。</w:t>
      </w:r>
    </w:p>
    <w:p>
      <w:pPr>
        <w:spacing w:lineRule="exact" w:line="600" w:before="0" w:after="0"/>
        <w:ind w:firstLine="420"/>
        <w:jc w:val="both"/>
      </w:pPr>
      <w:r>
        <w:rPr>
          <w:rFonts w:ascii="仿宋_GB2312" w:hAnsi="仿宋_GB2312" w:eastAsia="仿宋_GB2312"/>
          <w:b w:val="0"/>
          <w:color w:val="000000"/>
          <w:sz w:val="32"/>
        </w:rPr>
        <w:t>公司企业类型为股份有限公司（非上市、自然人投资或控股），注册资本3,000万元人民币（实缴约920万元；2021年由200万元增资至3,000万元），所属行业为纺织服装、服饰业（机织服装制造）。股东及实际控制人为李志鹏（持股约80%）。公司系增值税一般纳税人，具海关注册编码（3708960509），参保人数约303人（2025年年报口径），系汶上县服装产业龙头企业之一。</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的非上市股份有限公司，设董事会（董事长李纪臣、董事兼总经理李志鹏等）与监事会。业务聚焦梭织服装的研发、生产与出口，对外投资1家企业、设1家分支机构，并涉及医疗器械、医疗用品与家居用品生产销售。</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2005年以"济宁爱丝制衣有限公司"设立，主营梭织服装生产与出口；2021年注册资本由200万元增至3,000万元，完成产能与资本扩张；2019年整体变更为股份有限公司。先后获评高新技术企业（2023）、专精特新中小企业、创新型中小企业，持续投入自动裁床、智能流水线等技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以出口为导向的梭织服装智能制造企业，是汶上休闲服饰制造产业集群的骨干企业。主营业务包括服装生产销售、货物与技术进出口、服装领域技术推广与咨询，以及劳动保护用品、医疗器械与家居用品生产销售。核心产品为毛呢、风衣、羽绒服、夹克等梭织服装，产品出口日本、欧洲、英国等地区。</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公司业务以梭织服装（毛呢、风衣、羽绒服、夹克）生产与出口为主，劳动保护用品与医疗用品为辅。公开资料未披露分产品收入占比；从客户结构看，出口代工为绝对主业。</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核心产品为各类梭织服装，包括毛呢大衣、风衣、羽绒服、夹克等，并延伸至劳动保护用品与医疗用品。公司具备婴儿梭织连衣裤防晒、防寒衣内胆可拆卸、全包覆式防寒衣等研发项目，体现产品工艺创新能力。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公司客户涵盖国内外知名品牌，公开报道提及包括H&amp;M、Superdry、利郎、特步、波司登等，产品出口日本、欧洲、英国等市场。具体客户名单与占比未公开披露。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生产投入以面料、辅料及缝纫设备耗材为主，依托汶上服装集群配套与规模采购。具体供应商信息未公开披露。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公司引入智能流水线与自动裁床，单班组日加工200余套、效率提升约15%；系高新技术企业、专精特新中小企业、创新型中小企业，拥有专利等知识产权（公开平台显示约38项）。具备货物与技术进出口资质。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公司采取"出口代工+品牌客户直供"模式，依托海关编码与海外客户网络出口，国内服务利郎、特步、波司登等品牌，订单饱满（公开报道显示订单排至当年5月）。</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公开渠道未披露公司近三年营业收入、利润等具体经营数据。已知其智能流水线效率提升15%、订单排产至5月、客户含多家国内外知名品牌，但量化营收与市占率未公开，故不做具体表述。</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济宁爱丝制衣股份有限公司为非上市股份有限公司，未公开披露经审计年度财务报表，财务数据未公开披露。以下列示可公开获取的资本与人员信息：</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指标</w:t>
            </w:r>
          </w:p>
        </w:tc>
        <w:tc>
          <w:tcPr>
            <w:tcW w:type="dxa" w:w="5669"/>
          </w:tcPr>
          <w:p>
            <w:pPr>
              <w:spacing w:lineRule="exact" w:line="600"/>
              <w:jc w:val="center"/>
            </w:pPr>
            <w:r/>
            <w:r>
              <w:rPr>
                <w:rFonts w:ascii="黑体" w:hAnsi="黑体" w:eastAsia="黑体"/>
                <w:b/>
                <w:color w:val="000000"/>
                <w:sz w:val="32"/>
              </w:rPr>
              <w:t>数据</w:t>
            </w:r>
          </w:p>
        </w:tc>
      </w:tr>
      <w:tr>
        <w:tc>
          <w:tcPr>
            <w:tcW w:type="dxa" w:w="2835"/>
          </w:tcPr>
          <w:p>
            <w:pPr>
              <w:spacing w:lineRule="exact" w:line="600"/>
              <w:jc w:val="center"/>
            </w:pPr>
            <w:r/>
            <w:r>
              <w:rPr>
                <w:rFonts w:ascii="仿宋_GB2312" w:hAnsi="仿宋_GB2312" w:eastAsia="仿宋_GB2312"/>
                <w:b w:val="0"/>
                <w:color w:val="000000"/>
                <w:sz w:val="32"/>
              </w:rPr>
              <w:t>成立时间</w:t>
            </w:r>
          </w:p>
        </w:tc>
        <w:tc>
          <w:tcPr>
            <w:tcW w:type="dxa" w:w="5669"/>
          </w:tcPr>
          <w:p>
            <w:pPr>
              <w:spacing w:lineRule="exact" w:line="600"/>
              <w:jc w:val="center"/>
            </w:pPr>
            <w:r/>
            <w:r>
              <w:rPr>
                <w:rFonts w:ascii="仿宋_GB2312" w:hAnsi="仿宋_GB2312" w:eastAsia="仿宋_GB2312"/>
                <w:b w:val="0"/>
                <w:color w:val="000000"/>
                <w:sz w:val="32"/>
              </w:rPr>
              <w:t>2005-04-13</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5669"/>
          </w:tcPr>
          <w:p>
            <w:pPr>
              <w:spacing w:lineRule="exact" w:line="600"/>
              <w:jc w:val="center"/>
            </w:pPr>
            <w:r/>
            <w:r>
              <w:rPr>
                <w:rFonts w:ascii="仿宋_GB2312" w:hAnsi="仿宋_GB2312" w:eastAsia="仿宋_GB2312"/>
                <w:b w:val="0"/>
                <w:color w:val="000000"/>
                <w:sz w:val="32"/>
              </w:rPr>
              <w:t>3,000万元（实缴约920万元）</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5669"/>
          </w:tcPr>
          <w:p>
            <w:pPr>
              <w:spacing w:lineRule="exact" w:line="600"/>
              <w:jc w:val="center"/>
            </w:pPr>
            <w:r/>
            <w:r>
              <w:rPr>
                <w:rFonts w:ascii="仿宋_GB2312" w:hAnsi="仿宋_GB2312" w:eastAsia="仿宋_GB2312"/>
                <w:b w:val="0"/>
                <w:color w:val="000000"/>
                <w:sz w:val="32"/>
              </w:rPr>
              <w:t>股份有限公司（非上市、自然人控股）</w:t>
            </w:r>
          </w:p>
        </w:tc>
      </w:tr>
      <w:tr>
        <w:tc>
          <w:tcPr>
            <w:tcW w:type="dxa" w:w="2835"/>
          </w:tcPr>
          <w:p>
            <w:pPr>
              <w:spacing w:lineRule="exact" w:line="600"/>
              <w:jc w:val="center"/>
            </w:pPr>
            <w:r/>
            <w:r>
              <w:rPr>
                <w:rFonts w:ascii="仿宋_GB2312" w:hAnsi="仿宋_GB2312" w:eastAsia="仿宋_GB2312"/>
                <w:b w:val="0"/>
                <w:color w:val="000000"/>
                <w:sz w:val="32"/>
              </w:rPr>
              <w:t>控股股东</w:t>
            </w:r>
          </w:p>
        </w:tc>
        <w:tc>
          <w:tcPr>
            <w:tcW w:type="dxa" w:w="5669"/>
          </w:tcPr>
          <w:p>
            <w:pPr>
              <w:spacing w:lineRule="exact" w:line="600"/>
              <w:jc w:val="center"/>
            </w:pPr>
            <w:r/>
            <w:r>
              <w:rPr>
                <w:rFonts w:ascii="仿宋_GB2312" w:hAnsi="仿宋_GB2312" w:eastAsia="仿宋_GB2312"/>
                <w:b w:val="0"/>
                <w:color w:val="000000"/>
                <w:sz w:val="32"/>
              </w:rPr>
              <w:t>李志鹏（持股约80%，实控人）</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5669"/>
          </w:tcPr>
          <w:p>
            <w:pPr>
              <w:spacing w:lineRule="exact" w:line="600"/>
              <w:jc w:val="center"/>
            </w:pPr>
            <w:r/>
            <w:r>
              <w:rPr>
                <w:rFonts w:ascii="仿宋_GB2312" w:hAnsi="仿宋_GB2312" w:eastAsia="仿宋_GB2312"/>
                <w:b w:val="0"/>
                <w:color w:val="000000"/>
                <w:sz w:val="32"/>
              </w:rPr>
              <w:t>约303人（2025年年报）</w:t>
            </w:r>
          </w:p>
        </w:tc>
      </w:tr>
      <w:tr>
        <w:tc>
          <w:tcPr>
            <w:tcW w:type="dxa" w:w="2835"/>
          </w:tcPr>
          <w:p>
            <w:pPr>
              <w:spacing w:lineRule="exact" w:line="600"/>
              <w:jc w:val="center"/>
            </w:pPr>
            <w:r/>
            <w:r>
              <w:rPr>
                <w:rFonts w:ascii="仿宋_GB2312" w:hAnsi="仿宋_GB2312" w:eastAsia="仿宋_GB2312"/>
                <w:b w:val="0"/>
                <w:color w:val="000000"/>
                <w:sz w:val="32"/>
              </w:rPr>
              <w:t>资质</w:t>
            </w:r>
          </w:p>
        </w:tc>
        <w:tc>
          <w:tcPr>
            <w:tcW w:type="dxa" w:w="5669"/>
          </w:tcPr>
          <w:p>
            <w:pPr>
              <w:spacing w:lineRule="exact" w:line="600"/>
              <w:jc w:val="center"/>
            </w:pPr>
            <w:r/>
            <w:r>
              <w:rPr>
                <w:rFonts w:ascii="仿宋_GB2312" w:hAnsi="仿宋_GB2312" w:eastAsia="仿宋_GB2312"/>
                <w:b w:val="0"/>
                <w:color w:val="000000"/>
                <w:sz w:val="32"/>
              </w:rPr>
              <w:t>高新技术企业、专精特新中小企业</w:t>
            </w:r>
          </w:p>
        </w:tc>
      </w:tr>
    </w:tbl>
    <w:p>
      <w:pPr>
        <w:spacing w:lineRule="exact" w:line="600" w:before="120" w:after="120"/>
        <w:ind w:firstLine="420"/>
        <w:jc w:val="left"/>
      </w:pPr>
      <w:r>
        <w:rPr>
          <w:rFonts w:ascii="楷体_GB2312" w:hAnsi="楷体_GB2312" w:eastAsia="楷体_GB2312"/>
          <w:b w:val="0"/>
          <w:color w:val="000000"/>
          <w:sz w:val="32"/>
        </w:rPr>
        <w:t>（二）至（六）说明</w:t>
      </w:r>
    </w:p>
    <w:p>
      <w:pPr>
        <w:spacing w:lineRule="exact" w:line="600" w:before="0" w:after="0"/>
        <w:ind w:firstLine="420"/>
        <w:jc w:val="both"/>
      </w:pPr>
      <w:r>
        <w:rPr>
          <w:rFonts w:ascii="仿宋_GB2312" w:hAnsi="仿宋_GB2312" w:eastAsia="仿宋_GB2312"/>
          <w:b w:val="0"/>
          <w:color w:val="000000"/>
          <w:sz w:val="32"/>
        </w:rPr>
        <w:t>因财务数据未公开披露，盈利能力、资产质量、负债与偿债、现金流等关键指标无法量化。公司资本实力以注册资本3,000万元及303人团队为参照；作为出口代工企业，其经营受海外订单与汇率波动影响，建议获取审计报告后补充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公司为非上市股份有限公司，设董事会与监事会，治理结构相对规范。股权由李志鹏等自然人持有（李志鹏持股约80%），决策集中。作为出口企业接受商务、海关与外汇监管。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董事长李纪臣、董事兼总经理李志鹏主导战略与经营。核心团队在梭织服装制造与出口领域经验丰富。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公司通过高新技术企业规范与进出口合规体系，建立生产质量管理与知识产权保护机制；作为A级纳税人，税务合规较好。</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参保人数约303人，属劳动密集型制造企业；公司拥有多项专利与研发项目，技术与技工团队是核心人力资本。</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客户壁垒：服务H&amp;M、Superdry、利郎、特步、波司登等国内外知名品牌，订单稳定且排产饱满。二是智造壁垒：智能流水线与自动裁床提升效率15%、降低损耗，具备"小单快反"能力。三是资质壁垒：高新技术企业、专精特新、进出口资质。四是集群壁垒：位于汶上服装产业集群，配套与用工便利。</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服装出口代工受海外需求、贸易摩擦与汇率波动影响明显；国内服装消费波动与"小单快反"趋势对柔性产能要求高；原材料（面料）价格波动影响成本。</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作为非上市企业，财务透明度低；公开信息提示存在一定数量法律诉讼（约14件）与风险事项，未发现重大处罚。实缴资本（约920万）显著低于注册资本，需关注资本充实度。</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公司通过智能化改造提效降本、拓展多元客户与品类、发展医疗与劳保用品分散风险。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针对公司智能产线升级、面料采购与出口备货的资金需求，山东投资可切入：一是供应链金融，围绕面料采购与成衣出口提供保理与预付融资；二是融资租赁，为自动裁床与智能流水线设备提供直租/回租；三是商业保理，盘活其对品牌客户的应收账款；四是小额贷款，满足季节性流动资金周转。需关注出口回款周期与汇率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济宁爱丝制衣股份有限公司是汶上休闲服饰产业集群中以出口代工为特色的骨干企业，智能产线与知名品牌客户构成核心优势，但财务透明度低、受外贸波动影响。</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据行业趋势，柔性制造与"小单快反"为服装业方向，公司智造能力有望支撑订单增长；医疗与劳保用品拓展新空间。</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主要挑战在于外贸需求与汇率波动、原材料成本、实缴资本充实度与财务透明度。</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建议山东投资将其作为服装产业链的优质合作客户，优先以供应链金融与融资租赁切入，依托品牌客户信用控制风险；介入前建议核查诉讼与实缴状况。综合评级：客户优质、智造能力突出的成长型合作客户。</w:t>
      </w:r>
    </w:p>
    <w:p>
      <w:pPr>
        <w:spacing w:lineRule="exact" w:line="600" w:before="0" w:after="0"/>
        <w:jc w:val="left"/>
      </w:pPr>
      <w:r>
        <w:rPr>
          <w:rFonts w:ascii="仿宋_GB2312" w:hAnsi="仿宋_GB2312" w:eastAsia="仿宋_GB2312"/>
          <w:b w:val="0"/>
          <w:color w:val="000000"/>
          <w:sz w:val="28"/>
        </w:rPr>
        <w:t>数据来源说明：本报告数据来源于天眼查/爱企查/企查查/启信查工商与股权、知识产权信息，新华网公开报道（汶上服装产业从织造到"智造"）及企业披露的客户与产能信息。财务数据因非上市未公开披露，已如实标注，未编造具体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