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汶上县工程机械配件特色产业集群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金成技术股份有限公司企业分析报告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金成技术股份有限公司招股说明书（上交所主板IPO，2023年5月受理、2024年5月撤回）、上市保荐书及天眼查/爱企查工商信息整理。公司为非上市民营企业，以下采用其IPO招股书披露的2020—2022年真实财务数据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金成技术股份有限公司成立于2010年5月（前身山东金成机械有限公司），注册地山东省济宁市汶上县，法定代表人姬蕾；注册资本约1.35亿元；为非上市股份有限公司（自然人投资或控股）。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设董事会、经营管理层；实控人姬蕾（董事兼总经理）、姬国华（董事长）姐弟合计持股98.02%；下设研发、生产、销售体系。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由山东金成机械有限公司整体变更设立，专注工程机械结构件；2023年5月沪主板IPO获受理，拟募资7.72亿元，2024年5月因保荐机构与发行人撤回申请而终止审核。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定位为工程机械结构件专业制造商，主营高空作业车结构件、挖掘机结构件、推土机结构件及其他结构件四大系列，系少数具备多品类结构件研发生产能力的企业。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高空作业车、挖掘机、推土机结构件三大系列合计占比约93%—97%；高空作业车结构件为主力。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剪叉式/臂式高空作业车平台、剪刀臂、转台；挖掘机上车架、下车架、动臂、斗杆、挖斗；推土机铲刀总成、机罩总成等。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客户含徐工机械、山推股份、中联重科、小松、三一重工、豪士科、威克诺森、欧历胜、思诺高等；前五大客户收入占比约86%—89%，集中度较高。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成本以钢材等直接材料为主，2021年钢材均价同比上涨致毛利率承压。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具备多品类结构件研发制造能力，IPO募投"智能化升级改造项目"拟提升产能与自动化水平。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以主机厂配套直销为主，出口随主机厂。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2020—2022年营收5.93/6.67/5.53亿元；为国内工程机械结构件重要供应商，具体市占率未披露。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以下为招股书披露2020—2022年真实数据（单位：亿元）：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2020年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5.93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6.67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5.53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1.34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1.21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1.08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主营业务毛利率(%)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34.65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29.42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29.11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经营现金流净额(累计)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（三年累计&gt;3亿）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（三年累计&gt;3亿）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（三年累计&gt;3亿）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分析：营收与净利2021年见顶后回落（受工程机械下行与原材料涨价影响），但仍保持年净利超1亿元、毛利率约29%—35%，经营现金流三年累计超3亿元，盈利质量较好。2024年5月IPO撤回后无更新公开财报。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股份公司规范治理，但家族控股集中（实控人姐弟98.02%），多名高管为实控人亲属，存在财务内控不规范历史（曾通过供应商转贷、个人代收废料款，已于2022年整改归还）。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董事长姬国华、董事兼总经理姬蕾（同胞姐弟，共同实控人）。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建立研发—生产—质量体系；报告期内已整改财务内控问题。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以生产技工与工艺人员为主，汶上属地化就业。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壁垒：配套徐工、山推、小松、三一、中联等头部整机厂，关系稳定。二是品类壁垒：少数具备多品类结构件研发生产能力。三是工艺壁垒：多年技术积累与精密制造工艺。四是盈利壁垒：毛利率约29%—35%、现金流优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工程机械行业周期下行致营收波动；前五大客户占比近90%，集中度高；家族治理与历史内控不规范；IPO撤回影响资本规划。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拓展客户与品类（如臂式高空作业车结构件）；智能化升级改造降本；规范治理与内控。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徐工/山推等主机厂应收账款可开展保理。供应链金融：围绕钢材采购与结构件订单设计融资。并购/定增：山东投资可关注其IPO撤回后的再融资或老股转让机会，强化工程机械结构件布局。建议以供应链金融切入，关注客户集中度与周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成技术是工程机械结构件优质供应商，客户覆盖徐工/山推/小松等龙头、盈利质量较好，但家族治理集中、IPO撤回。建议：山东投资以供应链金融或老股/定增机会切入，重点评估客户集中度、行业周期与治理规范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数据来源说明：金成技术股份有限公司招股说明书及上市保荐书（上交所，2023.5）；天眼查/爱企查工商信息；贝多财经、界面新闻、新浪财经关于金成技术IPO终止的报道（2024.5）。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