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沂源县节能新材料特色产业集群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山东鲁阳节能材料股份有限公司企业分析报告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山东鲁阳节能材料股份有限公司2022—2024年年度报告、2025年业绩报道、巨潮资讯网及公开报道，统计时点截至2024年12月31日及已披露最新数据。控股股东与实控人信息以2026年一季报及公司公告为准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鲁阳节能材料股份有限公司始建于1984年，1992年10月14日整体改制设立，2006年在深交所上市，证券简称"鲁阳节能"，证券代码002088。统一社会信用代码91370000267171810H，法定代表人为邓涛（董事长），注册资本51,312.2586万元，注册地址位于山东省淄博市沂源县沂河路11号，所属行业为建筑材料—耐火材料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股权结构：控股股东为奇耐联合纤维亚太控股有限公司（注册于香港）持股52.30%，实际控制人为José E. Feliciano与Behdad Eghbali（Clearlake Capital体系）。第二大股东为公司创始人鹿成滨持股11.29%，沂源县南麻街道集体资产经营管理中心持股2.82%。2026年7月，控股股东上层主体Ulysses在美国申请破产重组，若完成鲁阳节能或转为无实际控制人，但奇耐亚太仍将保持控股股东身份。公司为外资控股的中外合资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陶瓷纤维、氧化铝纤维、可溶纤维、轻质耐火砖、过滤材料等多业务板块，拥有国家认定企业技术中心、国家认可实验室、博士后科研工作站、山东省陶瓷纤维工程技术研究中心，并在沂源等地设生产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为1984年成立的沂源节能材料厂，2006年上市，2014年起与奇耐（Unifrax）达成战略合作，2022年奇耐亚太通过要约收购将持股提升至53%，巩固控股。具备年产各类陶瓷纤维近60万吨能力，跻身世界陶瓷纤维业三强。2023年收购新增工业过滤布袋及汽车排放控制封装衬垫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全球知名陶瓷纤维制造基地、中国无机纤维材料行业专家，主营陶瓷纤维、可溶纤维、氧化铝纤维、轻质耐火砖、过滤材料等节能环保材料的研发、制造、销售、应用设计与施工，应用于石化、冶金、有色、电力、建材、交通、环保等高温绝热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收入以陶瓷纤维制品（棉、毯、模块、板等）为主，辅以氧化铝纤维、轻质耐火砖、过滤材料。2023年通过收购新增工业过滤布袋与汽车排放控制封装衬垫，拓展至环保与汽车排放领域。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核心产品包括硅酸铝纤维（标准棉/纺织棉/模块/毯）、威盾陶瓷纤维整体模块、PUREFRAX高温纤维除尘滤管、氧化铝纤维、轻质莫来石砖等，并提供炉衬节能设计与施工服务。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下游覆盖石化、冶金、有色、电力、建材、交通、环保等行业的工业炉窑客户，国内外大客户稳定，产品远销60多个国家和地区。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主要采购焦宝石、氧化铝等原材料，价格波动影响成本；作为奇耐关联方经销商，亦销售控股股东关联方的陶瓷纤维产品。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具备年产各类陶瓷纤维近60万吨能力，拥有381项专利、61项技术成果，是国家制造业单项冠军示范企业、国家火炬计划重点高新技术企业、国家标准起草单位。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以直销+经销结合，依托应用技术与施工服务能力绑定大客户，海外通过代理与直销拓展。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公司规模、技术、品种与效益连续二十多年国内同业领先，陶瓷纤维产销量居全球前三。2024年员工规模较大（未披露具体数），研发总投入7,407万元。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指标（亿元）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35.85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35.19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35.32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5.84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4.92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4.80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销售毛利率(%)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32.83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31.04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30.59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资产负债率(%)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26.43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26.82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26.52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6.15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3.31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5.64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每股收益(元)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1.15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0.97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0.94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2022—2024年营收稳定在35亿元左右，归母净利润由5.84亿降至4.80亿，毛利率由32.83%缓降至30.59%，盈利承压源于下游石化、冶金等资本开支放缓及房地产低迷传导。2025年业绩进一步大幅下滑（营收24.81亿、净利0.43亿，降幅超90%），进入阶段性低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2024年末总资产39.37亿元，净资产约29亿元；应收账款与存货随收入规模保持合理，资产质量总体稳健。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2024年末资产负债率26.52%，有息负债率仅1.86%，流动比率2.90、速动比率2.62，财务杠杆极低、偿债能力极强，货币资金充裕。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2024年经营现金流净额5.64亿元，净利润现金含量117.56%，现金流健康；2022年经营现金流6.15亿元为近年高点。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与耐火材料/节能材料可比公司相比，公司毛利率（30%+）、ROE（约17%）与现金含量优于多数同业，但2024—2025年受宏观需求走弱盈利明显回落，需关注需求复苏节奏。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外资控股上市公司，设股东大会、董事会、监事会，董事会含外资与创始股东代表；2026年上层破产重组事项不影响奇耐亚太控股股东地位与日常经营独立。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董事长邓涛（外方委派），总经理秦晓新（2023年薪酬429.45万元），创始人鹿成滨为重要股东与行业专家。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建立符合深交所规范的财务与内控体系，业务、资产、人员、财务、机构独立。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公司技术中心与生产基地人员规模较大，研发人员支撑381项专利；人均效能居行业前列。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成本：近60万吨产能、全球前三，规模效应显著；二是技术：381项专利、国家技术中心与单项冠军；三是品牌与渠道：四十余年积累、60+国家客户；四是外资赋能：奇耐全球技术与渠道协同；五是产品矩阵：覆盖多温区与多应用场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（一）周期风险：下游石化/冶金/房地产低迷压制需求（2025年业绩大跌）；（二）股权风险：上层主体破产重组或致无实控人，治理不确定性；（三）原材料风险：焦宝石/氧化铝价格；（四）汇率与海外风险：出口占比高；（五）竞争风险：行业产能过剩。应对措施包括拓展环保/汽车排放新业务、降本增效、优化产品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（一）公司现金充裕、负债率低，债权融资需求有限；（二）供应链金融：可基于原材料采购与销售应收账款开展保理；（三）融资租赁：产线技改设备可融资租赁；（四）山东协同：作为沂源新材料链主，可带动上下游中小企业，与山东投资在产业链供应链金融方面协同，服务配套商流动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阳节能是陶瓷纤维全球龙头，财务稳健、技术领先，但正经历下游需求走弱带来的业绩低谷。未来取决于地产/石化链复苏、环保与汽车排放新业务放量及治理稳定。建议：一是加速新业务培育；二是优化成本与全球布局；三是关注股权重组进展。与山东投资可在产业链金融方面审慎协同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数据来源说明：山东鲁阳节能材料股份有限公司2022、2023、2024年年度报告（巨潮资讯网）、2025年业绩报道、公司关于控股股东上层破产重组的公告、东方财富财务数据。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