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沂源县节能新材料特色产业集群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淄博卓意玻纤材料有限公司企业分析报告</w:t>
      </w:r>
    </w:p>
    <w:p>
      <w:pPr>
        <w:spacing w:lineRule="exact" w:line="600" w:before="0" w:after="0"/>
        <w:jc w:val="left"/>
      </w:pPr>
      <w:r>
        <w:rPr>
          <w:rFonts w:ascii="仿宋_GB2312" w:hAnsi="仿宋_GB2312" w:eastAsia="仿宋_GB2312"/>
          <w:b w:val="0"/>
          <w:color w:val="000000"/>
          <w:sz w:val="28"/>
        </w:rPr>
        <w:t>（本报告数据来源于淄博卓意玻纤材料有限公司工商登记信息、山东玻纤集团股份有限公司（605006）公告及公开报道，统计时点截至2025年12月31日（经审计财务数据）。该公司为山东玻纤全资子公司，财务数据随母公司披露可查证。）</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淄博卓意玻纤材料有限公司成立于2011年12月8日，统一社会信用代码91370323587179766D，法定代表人为石道勇，注册资本30,000万元（实缴30,000万元），企业类型为有限责任公司（非自然人投资或控股的法人独资），注册地址位于山东省淄博市沂源县城荆山路270号，所属行业为玻璃纤维增强塑料制品制造。</w:t>
      </w:r>
    </w:p>
    <w:p>
      <w:pPr>
        <w:spacing w:lineRule="exact" w:line="600" w:before="0" w:after="0"/>
        <w:ind w:firstLine="420"/>
        <w:jc w:val="both"/>
      </w:pPr>
      <w:r>
        <w:rPr>
          <w:rFonts w:ascii="仿宋_GB2312" w:hAnsi="仿宋_GB2312" w:eastAsia="仿宋_GB2312"/>
          <w:b w:val="0"/>
          <w:color w:val="000000"/>
          <w:sz w:val="32"/>
        </w:rPr>
        <w:t>股权结构：股东为山东玻纤集团股份有限公司（证券代码605006）持股100%；上层股东为山东能源集团新材料有限公司，最终实际控制人为山东省人民政府国有资产监督管理委员会（穿透持股约49.14%）。公司为省属国有控股上市企业全资子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公司作为山东玻纤核心子公司，主营玻璃纤维及制品制造销售，下设玻纤纱生产与贵金属加工等车间（2026年贵金属加工车间资产划转至山东玻纤沂源分公司），人员与产线纳入集团统一管理。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2011年成立，注册资本由1.1亿元增至3亿元，是沂源县节能新材料产业链链主企业。作为山东玻纤重要子公司，承担玻纤纱等基础材料产能。2026年5月，山东玻纤公告拟将其贵金属加工车间资产无偿划转至新设沂源分公司，规范贵金属业务独立运营。</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公司定位为玻璃纤维及制品专业制造商，主营玻璃纤维及制品制造与销售、玻璃纤维增强塑料制品制造与销售，是山东玻纤"补齐供应链、强化生产链、延伸产业链"布局中的玻纤纱核心供给主体。</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业务以玻纤纱及玻纤制品为主，为下游复合材料企业提供基础材料，属玻纤产业链上游"基础原料与单体"环节。</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核心产品为各类玻璃纤维纱（直接纱、合股纱等）及玻纤制品，供应山东玻纤体系内及外部复合材料企业。</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主要客户为玻纤复合材料制造企业及山东玻纤内部下游，下游覆盖建材、电子、交通、环保等。</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主要采购叶腊石、石英砂、石灰石等矿物原料及能源（天然气、电力），成本受能源与矿价影响。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公司员工923人（2025年工商年报），资产规模14.59亿元，具备规模化玻纤纱产能，属沂源玻纤产业链链主。</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以集团内协同销售与对外直销结合，依托山东玻纤渠道拓展市场。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2025年（经审计）实现营业收入6.10亿元，净利润354.66万元，资产总额14.59亿元，负债8.50亿元，净资产6.09亿元，是沂源县玻纤材料骨干企业。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指标（亿元）</w:t>
            </w:r>
          </w:p>
        </w:tc>
        <w:tc>
          <w:tcPr>
            <w:tcW w:type="dxa" w:w="2268"/>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c>
          <w:tcPr>
            <w:tcW w:type="dxa" w:w="2268"/>
          </w:tcPr>
          <w:p>
            <w:pPr>
              <w:spacing w:lineRule="exact" w:line="600"/>
              <w:jc w:val="center"/>
            </w:pPr>
            <w:r/>
            <w:r>
              <w:rPr>
                <w:rFonts w:ascii="黑体" w:hAnsi="黑体" w:eastAsia="黑体"/>
                <w:b/>
                <w:color w:val="000000"/>
                <w:sz w:val="32"/>
              </w:rPr>
              <w:t>2025年</w:t>
            </w:r>
          </w:p>
        </w:tc>
      </w:tr>
      <w:tr>
        <w:tc>
          <w:tcPr>
            <w:tcW w:type="dxa" w:w="2551"/>
          </w:tcPr>
          <w:p>
            <w:pPr>
              <w:spacing w:lineRule="exact" w:line="600"/>
              <w:jc w:val="center"/>
            </w:pPr>
            <w:r/>
            <w:r>
              <w:rPr>
                <w:rFonts w:ascii="仿宋_GB2312" w:hAnsi="仿宋_GB2312" w:eastAsia="仿宋_GB2312"/>
                <w:b w:val="0"/>
                <w:color w:val="000000"/>
                <w:sz w:val="32"/>
              </w:rPr>
              <w:t>营业收入</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6.10</w:t>
            </w:r>
          </w:p>
        </w:tc>
      </w:tr>
      <w:tr>
        <w:tc>
          <w:tcPr>
            <w:tcW w:type="dxa" w:w="2551"/>
          </w:tcPr>
          <w:p>
            <w:pPr>
              <w:spacing w:lineRule="exact" w:line="600"/>
              <w:jc w:val="center"/>
            </w:pPr>
            <w:r/>
            <w:r>
              <w:rPr>
                <w:rFonts w:ascii="仿宋_GB2312" w:hAnsi="仿宋_GB2312" w:eastAsia="仿宋_GB2312"/>
                <w:b w:val="0"/>
                <w:color w:val="000000"/>
                <w:sz w:val="32"/>
              </w:rPr>
              <w:t>净利润</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0.035</w:t>
            </w:r>
          </w:p>
        </w:tc>
      </w:tr>
      <w:tr>
        <w:tc>
          <w:tcPr>
            <w:tcW w:type="dxa" w:w="2551"/>
          </w:tcPr>
          <w:p>
            <w:pPr>
              <w:spacing w:lineRule="exact" w:line="600"/>
              <w:jc w:val="center"/>
            </w:pPr>
            <w:r/>
            <w:r>
              <w:rPr>
                <w:rFonts w:ascii="仿宋_GB2312" w:hAnsi="仿宋_GB2312" w:eastAsia="仿宋_GB2312"/>
                <w:b w:val="0"/>
                <w:color w:val="000000"/>
                <w:sz w:val="32"/>
              </w:rPr>
              <w:t>资产总额</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14.59</w:t>
            </w:r>
          </w:p>
        </w:tc>
      </w:tr>
      <w:tr>
        <w:tc>
          <w:tcPr>
            <w:tcW w:type="dxa" w:w="2551"/>
          </w:tcPr>
          <w:p>
            <w:pPr>
              <w:spacing w:lineRule="exact" w:line="600"/>
              <w:jc w:val="center"/>
            </w:pPr>
            <w:r/>
            <w:r>
              <w:rPr>
                <w:rFonts w:ascii="仿宋_GB2312" w:hAnsi="仿宋_GB2312" w:eastAsia="仿宋_GB2312"/>
                <w:b w:val="0"/>
                <w:color w:val="000000"/>
                <w:sz w:val="32"/>
              </w:rPr>
              <w:t>负债总额</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8.50</w:t>
            </w:r>
          </w:p>
        </w:tc>
      </w:tr>
      <w:tr>
        <w:tc>
          <w:tcPr>
            <w:tcW w:type="dxa" w:w="2551"/>
          </w:tcPr>
          <w:p>
            <w:pPr>
              <w:spacing w:lineRule="exact" w:line="600"/>
              <w:jc w:val="center"/>
            </w:pPr>
            <w:r/>
            <w:r>
              <w:rPr>
                <w:rFonts w:ascii="仿宋_GB2312" w:hAnsi="仿宋_GB2312" w:eastAsia="仿宋_GB2312"/>
                <w:b w:val="0"/>
                <w:color w:val="000000"/>
                <w:sz w:val="32"/>
              </w:rPr>
              <w:t>净资产</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w:t>
            </w:r>
          </w:p>
        </w:tc>
        <w:tc>
          <w:tcPr>
            <w:tcW w:type="dxa" w:w="2268"/>
          </w:tcPr>
          <w:p>
            <w:pPr>
              <w:spacing w:lineRule="exact" w:line="600"/>
              <w:jc w:val="center"/>
            </w:pPr>
            <w:r/>
            <w:r>
              <w:rPr>
                <w:rFonts w:ascii="仿宋_GB2312" w:hAnsi="仿宋_GB2312" w:eastAsia="仿宋_GB2312"/>
                <w:b w:val="0"/>
                <w:color w:val="000000"/>
                <w:sz w:val="32"/>
              </w:rPr>
              <w:t>6.09</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2025年公司营收6.10亿元，净利润仅354.66万元，净利率约0.58%，盈利水平偏低，反映玻纤行业产能过剩、价格竞争激烈，基础玻纤纱环节利润微薄。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2025年末资产总额14.59亿元、净资产6.09亿元，资产以固定资产（池窑、产线）与存货为主，属重资产制造。</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2025年末负债8.50亿元，资产负债率约58.3%，在重资产制造企业中处于中等水平，需关注有息负债与偿债压力。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未单独披露经营现金流；作为山东玻纤子公司，资金与融资纳入集团统一安排。</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作为玻纤纱基础材料供应商，盈利弱于下游高附加值复合材料环节，与行业过剩态势一致；对比中国巨石等龙头，规模与成本劣势明显，需靠集团协同与差异化产品改善。</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国有控股全资子公司，设执行董事/总经理与监事，落实"三重一大"与党委前置研究，党建与治理融合。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法定代表人石道勇，管理层由山东玻纤委派。</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纳入山东能源集团与山东玻纤内控体系，合规与安全管理规范。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员工923人，以产线工人与技术岗为主，是沂源县重要用工企业。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一是国资背景：山东能源集团新材料板块协同与信用支撑；二是产业链位置：玻纤纱基础供给，绑定集团下游；三是规模：沂源链主，产能可观；四是客户协同：依托山东玻纤渠道；五是资源：矿产与能源配套。</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行业风险：玻纤产能过剩、价格下行致盈利微薄；（二）周期风险：建材/风电需求波动；（三）财务杠杆：资产负债率约58%，偿债压力；（四）整合风险：贵金属业务划转影响组织；（五）环保风险：窑炉能耗与排放约束。应对措施包括产品差异化、降本、集团协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作为国企子公司，可依托集团信用开展融资；（二）供应链金融：基于玻纤纱销售应收账款开展保理；（三）融资租赁：池窑技改与环保设备可融资租赁；（四）山东协同：山东投资可围绕山东能源新材料产业链，提供供应链金融与设备租赁，服务其技改与降本。</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卓意玻纤是山东玻纤体系内玻纤纱核心主体、沂源新材料链主，国资背景稳固但盈利受行业过剩压制。建议：一是推进产品向高端玻纤差异化升级；二是依托集团协同降本增效；三是把握风电/新能源车玻纤需求。与山东投资可在产业链金融、设备租赁方面协同。</w:t>
      </w:r>
    </w:p>
    <w:p>
      <w:pPr>
        <w:spacing w:lineRule="exact" w:line="600" w:before="0" w:after="0"/>
        <w:jc w:val="left"/>
      </w:pPr>
      <w:r>
        <w:rPr>
          <w:rFonts w:ascii="仿宋_GB2312" w:hAnsi="仿宋_GB2312" w:eastAsia="仿宋_GB2312"/>
          <w:b w:val="0"/>
          <w:color w:val="000000"/>
          <w:sz w:val="28"/>
        </w:rPr>
        <w:t>数据来源说明：淄博卓意玻纤材料有限公司工商信息（天眼查/企查查）、山东玻纤集团股份有限公司（605006）关于设立沂源分公司暨资产无偿划转的公告及2025年审计财务数据、公开报道。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