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泗水县机床附件加工特色产业集群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济宁德瓦斯机械股份有限公司企业分析报告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宁德瓦斯机械股份有限公司成立于2012年6月8日，曾用名“泗水县恒泰机械有限公司”，法定代表人张洪，统一社会信用代码91370831597834621H，企业类型为股份有限公司（非上市、自然人投资或控股），注册资本220万元人民币（实缴220万元），注册地址位于山东省济宁市泗水县经济开发区泉济路017号，登记机关为济宁市市场监督管理局，经营状态为存续。工商登记参保人数约90人，百度百科显示2024年员工71人，属小微企业。股权为自然人投资或控股，属民营控股，无国有出资人。公司商标包括“HTMAMT”“DEWAS”。</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机床附件制造企业（股份有限公司），集设计、生产、销售为一体；经营范围为机床附件加工、销售，机械设备、刀具销售。在齐鲁股权交易中心挂牌，属小微企业；2024年在泗水县工业企业“亩产效益”评价中获评A类等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泗水县恒泰机械有限公司，2012年6月8日成立；2019年4月注册资本由50万元增至200万元，同年3月注册地址由泉鑫路迁至泉丰路；后更名为济宁德瓦斯机械股份有限公司，聚焦高速高精数控加工中心刀柄研发生产；获评国家级高新技术企业、山东省“专精特新”中小企业及“瞪羚企业”称号，2024年拥有5项商标、21项专利、8项软件著作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高速高精数控加工中心刀柄专业制造商，国家级高新技术企业、山东省专精特新中小企业、瞪羚企业。主营业务为机床附件加工销售及高速高精数控加工中心刀柄系列、机械设备、刀具的研发、生产与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业务以高速高精数控加工中心刀柄为核心，涵盖机床附件加工销售及机械设备、刀具销售。公司未公开披露分产品收入占比。产品畅销全国二十多省市自治区，并出口到多个国家和地区。</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主导产品为高速高精数控加工中心刀柄系列（商标“HTMAMT”“DEWAS”），应用于汽车、机械等机械加工领域；并提供机床附件、机械设备、刀具的设计、生产、销售服务。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产品畅销全国二十多省市自治区，并出口多个国家和地区，客户以机械加工、汽车零部件、模具等企业为主。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生产所需合金钢材、硬质合金、轴承及热处理服务为主要采购对象，原料价格随特钢与硬质合金行情波动。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为国家级高新技术企业、山东省“专精特新”中小企业、瞪羚企业；2024年拥有5项商标、21项专利、8项软件著作权；在齐鲁股权交易中心挂牌；2024年泗水县“亩产效益”评价A类。具体产能数据未公开披露。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以自产自销为主，覆盖国内二十余省市并出口多国；渠道以直销与经销结合。</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业收入、利润及市场占有率数据。从资质（国家级高新、省专精特新、瞪羚）与“亩产效益”A类看，公司在高速高精数控刀柄细分领域具一定技术地位，但规模偏小。</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济宁德瓦斯机械股份有限公司为非上市公众公司（齐鲁股权挂牌），近三年财务报表未公开披露，以下仅列公开工商与资质信息，不作财务数据编造。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220万元（实缴220万元）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2012-06-08（曾用名泗水县恒泰机械）</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股份有限公司（非上市、自然人投资或控股）</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约71人（2024年）/约90人（工商年报）</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国家级高新、省专精特新、瞪羚、亩产效益A类</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财务数据未公开披露。高速高精数控刀柄属较高附加值机床附件，毛利率通常优于普通附件；但企业规模小，盈利规模有限。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无公开资产数据。注册资本220万元、重研发（21项专利），固定资产规模相对有限。</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无公开负债数据。建议授信前核查有息负债与对外担保；规模小，偿债依赖经营现金流。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无公开现金流数据。刀柄业务回款周期一般，需关注经营性现金流。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与泗水机床附件集群内企业相比，德瓦斯以“高速高精数控刀柄+国家级高新+省专精特新+瞪羚”为特色，技术资质优于普通附件厂，但规模小于山东工具与欧诺威。</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非上市股份有限公司，法定代表人/董事长张洪；治理结构按公众公司基本要求运作，在齐鲁股权交易中心挂牌，治理相对规范。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法定代表人、董事长张洪；管理层以创始人主导，技术背景为主。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作为国家级高新技术企业，建立研发与质量内控体系；通过“亩产效益”A类体现资源利用效率较高。</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员工约71—90人（口径差异），以生产与技工为主；21项专利体现一定研发密度。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专注高速高精数控加工中心刀柄，国家级高新技术企业、21项专利、8项软著，技术门槛较高。二是资质稀缺：山东省“专精特新”中小企业、瞪羚企业、“亩产效益”A类，政策与品牌背书。三是出口能力：产品出口多国，客户基础较广。四是股权挂牌：齐鲁股权交易中心挂牌提升规范度与融资可得性。</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盈利风险：注册资本220万元、员工约71人，抗周期能力弱；毛利率受原料波动影响。二是原料价格风险：合金钢、硬质合金随行情波动。三是客户与回款风险：需关注应收账款管理。四是竞争风险：数控刀柄同质化竞争，须以高精技术维持溢价。五是经营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机械加工企业的应收账款可开展保理。供应链金融：围绕核心原料采购做订单融资。融资租赁：高精刀柄生产设备升级适合直租/回租。小贷：面向临时周转。鉴于其国家级高新与专精特新资质，可作为集群内培育客户，但须以完整尽调与增信为前提、控制额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济宁德瓦斯机械是泗水机床附件集群中以高速高精数控刀柄为特色的国家级高新、省专精特新企业，技术资质良好，但规模小、财务不透明。发展展望：据行业趋势，高端数控机床国产化带动高精刀柄需求增长，公司可依托技术资质稳步扩张。建议：一是对接设备融资租赁与应收保理，控制额度并设增信；二是将规范财务披露作为授信前提；三是关注回款风险，建立动态监测。</w:t>
      </w:r>
    </w:p>
    <w:p>
      <w:pPr>
        <w:spacing w:lineRule="exact" w:line="600" w:before="0" w:after="0"/>
        <w:jc w:val="left"/>
      </w:pPr>
      <w:r>
        <w:rPr>
          <w:rFonts w:ascii="仿宋_GB2312" w:hAnsi="仿宋_GB2312" w:eastAsia="仿宋_GB2312"/>
          <w:b w:val="0"/>
          <w:color w:val="000000"/>
          <w:sz w:val="28"/>
        </w:rPr>
        <w:t>数据来源说明：天眼查/爱企查（工商、股权、资质、专利）、百度百科（曾用名、员工、商标专利、亩产效益A类）、齐鲁股权交易中心/万得全球企业库（机床附件、挂牌、出口）、半岛网络科技企业库（专精特新）。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