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泗水县食品加工特色产业集群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山东省泗水利丰食品有限公司企业分析报告</w:t>
      </w:r>
    </w:p>
    <w:p>
      <w:pPr>
        <w:spacing w:lineRule="exact" w:line="600" w:before="0" w:after="0"/>
        <w:jc w:val="left"/>
      </w:pPr>
      <w:r>
        <w:rPr>
          <w:rFonts w:ascii="仿宋_GB2312" w:hAnsi="仿宋_GB2312" w:eastAsia="仿宋_GB2312"/>
          <w:b w:val="0"/>
          <w:color w:val="000000"/>
          <w:sz w:val="28"/>
        </w:rPr>
        <w:t>（本报告数据来源于国家企业信用信息公示系统、天眼查、爱企查、新华社、泗水县政府公开信息、企业公开资料等公开渠道，统计时点截至最新可查披露信息。该公司为非上市企业，财务数据未公开披露，已如实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省泗水利丰食品有限公司（以下简称"利丰食品"或"公司"）统一社会信用代码为913708007292736287，成立于2001年7月10日，法定代表人为陈红岩（董事长）。公司注册资本16,216.65万元，实缴资本与注册资本一致，企业类型为有限责任公司（外商投资、非独资）。注册地址位于山东省济宁市泗水县。</w:t>
      </w:r>
    </w:p>
    <w:p>
      <w:pPr>
        <w:spacing w:lineRule="exact" w:line="600" w:before="0" w:after="0"/>
        <w:ind w:firstLine="420"/>
        <w:jc w:val="both"/>
      </w:pPr>
      <w:r>
        <w:rPr>
          <w:rFonts w:ascii="仿宋_GB2312" w:hAnsi="仿宋_GB2312" w:eastAsia="仿宋_GB2312"/>
          <w:b w:val="0"/>
          <w:color w:val="000000"/>
          <w:sz w:val="32"/>
        </w:rPr>
        <w:t>股权结构方面，公司由泗水英利淀粉制品有限公司持股71.8763%、韩国JB贸易株式会社持股28.1237%共同出资设立，其中泗水英利淀粉制品有限公司为控股股东，疑似实际控制人为孔庆兴。公司参保人数约161人，按国家统计局大中小微企业划分标准属大型企业，是泗水县食品加工特色产业集群的链主企业。</w:t>
      </w:r>
    </w:p>
    <w:tbl>
      <w:tblPr>
        <w:tblStyle w:val="TableGrid"/>
        <w:tblW w:type="auto" w:w="0"/>
        <w:jc w:val="center"/>
        <w:tblLook w:firstColumn="1" w:firstRow="1" w:lastColumn="0" w:lastRow="0" w:noHBand="0" w:noVBand="1" w:val="04A0"/>
      </w:tblPr>
      <w:tblGrid>
        <w:gridCol w:w="4422"/>
        <w:gridCol w:w="4422"/>
      </w:tblGrid>
      <w:tr>
        <w:tc>
          <w:tcPr>
            <w:tcW w:type="dxa" w:w="2835"/>
          </w:tcPr>
          <w:p>
            <w:pPr>
              <w:spacing w:lineRule="exact" w:line="600"/>
              <w:jc w:val="center"/>
            </w:pPr>
            <w:r/>
            <w:r>
              <w:rPr>
                <w:rFonts w:ascii="黑体" w:hAnsi="黑体" w:eastAsia="黑体"/>
                <w:b/>
                <w:color w:val="000000"/>
                <w:sz w:val="32"/>
              </w:rPr>
              <w:t>项目</w:t>
            </w:r>
          </w:p>
        </w:tc>
        <w:tc>
          <w:tcPr>
            <w:tcW w:type="dxa" w:w="6236"/>
          </w:tcPr>
          <w:p>
            <w:pPr>
              <w:spacing w:lineRule="exact" w:line="600"/>
              <w:jc w:val="center"/>
            </w:pPr>
            <w:r/>
            <w:r>
              <w:rPr>
                <w:rFonts w:ascii="黑体" w:hAnsi="黑体" w:eastAsia="黑体"/>
                <w:b/>
                <w:color w:val="000000"/>
                <w:sz w:val="32"/>
              </w:rPr>
              <w:t>内容</w:t>
            </w:r>
          </w:p>
        </w:tc>
      </w:tr>
      <w:tr>
        <w:tc>
          <w:tcPr>
            <w:tcW w:type="dxa" w:w="2835"/>
          </w:tcPr>
          <w:p>
            <w:pPr>
              <w:spacing w:lineRule="exact" w:line="600"/>
              <w:jc w:val="center"/>
            </w:pPr>
            <w:r/>
            <w:r>
              <w:rPr>
                <w:rFonts w:ascii="仿宋_GB2312" w:hAnsi="仿宋_GB2312" w:eastAsia="仿宋_GB2312"/>
                <w:b w:val="0"/>
                <w:color w:val="000000"/>
                <w:sz w:val="32"/>
              </w:rPr>
              <w:t>统一社会信用代码</w:t>
            </w:r>
          </w:p>
        </w:tc>
        <w:tc>
          <w:tcPr>
            <w:tcW w:type="dxa" w:w="6236"/>
          </w:tcPr>
          <w:p>
            <w:pPr>
              <w:spacing w:lineRule="exact" w:line="600"/>
              <w:jc w:val="center"/>
            </w:pPr>
            <w:r/>
            <w:r>
              <w:rPr>
                <w:rFonts w:ascii="仿宋_GB2312" w:hAnsi="仿宋_GB2312" w:eastAsia="仿宋_GB2312"/>
                <w:b w:val="0"/>
                <w:color w:val="000000"/>
                <w:sz w:val="32"/>
              </w:rPr>
              <w:t>913708007292736287</w:t>
            </w:r>
          </w:p>
        </w:tc>
      </w:tr>
      <w:tr>
        <w:tc>
          <w:tcPr>
            <w:tcW w:type="dxa" w:w="2835"/>
          </w:tcPr>
          <w:p>
            <w:pPr>
              <w:spacing w:lineRule="exact" w:line="600"/>
              <w:jc w:val="center"/>
            </w:pPr>
            <w:r/>
            <w:r>
              <w:rPr>
                <w:rFonts w:ascii="仿宋_GB2312" w:hAnsi="仿宋_GB2312" w:eastAsia="仿宋_GB2312"/>
                <w:b w:val="0"/>
                <w:color w:val="000000"/>
                <w:sz w:val="32"/>
              </w:rPr>
              <w:t>成立日期</w:t>
            </w:r>
          </w:p>
        </w:tc>
        <w:tc>
          <w:tcPr>
            <w:tcW w:type="dxa" w:w="6236"/>
          </w:tcPr>
          <w:p>
            <w:pPr>
              <w:spacing w:lineRule="exact" w:line="600"/>
              <w:jc w:val="center"/>
            </w:pPr>
            <w:r/>
            <w:r>
              <w:rPr>
                <w:rFonts w:ascii="仿宋_GB2312" w:hAnsi="仿宋_GB2312" w:eastAsia="仿宋_GB2312"/>
                <w:b w:val="0"/>
                <w:color w:val="000000"/>
                <w:sz w:val="32"/>
              </w:rPr>
              <w:t>2001年7月10日</w:t>
            </w:r>
          </w:p>
        </w:tc>
      </w:tr>
      <w:tr>
        <w:tc>
          <w:tcPr>
            <w:tcW w:type="dxa" w:w="2835"/>
          </w:tcPr>
          <w:p>
            <w:pPr>
              <w:spacing w:lineRule="exact" w:line="600"/>
              <w:jc w:val="center"/>
            </w:pPr>
            <w:r/>
            <w:r>
              <w:rPr>
                <w:rFonts w:ascii="仿宋_GB2312" w:hAnsi="仿宋_GB2312" w:eastAsia="仿宋_GB2312"/>
                <w:b w:val="0"/>
                <w:color w:val="000000"/>
                <w:sz w:val="32"/>
              </w:rPr>
              <w:t>法定代表人</w:t>
            </w:r>
          </w:p>
        </w:tc>
        <w:tc>
          <w:tcPr>
            <w:tcW w:type="dxa" w:w="6236"/>
          </w:tcPr>
          <w:p>
            <w:pPr>
              <w:spacing w:lineRule="exact" w:line="600"/>
              <w:jc w:val="center"/>
            </w:pPr>
            <w:r/>
            <w:r>
              <w:rPr>
                <w:rFonts w:ascii="仿宋_GB2312" w:hAnsi="仿宋_GB2312" w:eastAsia="仿宋_GB2312"/>
                <w:b w:val="0"/>
                <w:color w:val="000000"/>
                <w:sz w:val="32"/>
              </w:rPr>
              <w:t>陈红岩（董事长）</w:t>
            </w:r>
          </w:p>
        </w:tc>
      </w:tr>
      <w:tr>
        <w:tc>
          <w:tcPr>
            <w:tcW w:type="dxa" w:w="2835"/>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16,216.65万元人民币（已实缴）</w:t>
            </w:r>
          </w:p>
        </w:tc>
      </w:tr>
      <w:tr>
        <w:tc>
          <w:tcPr>
            <w:tcW w:type="dxa" w:w="2835"/>
          </w:tcPr>
          <w:p>
            <w:pPr>
              <w:spacing w:lineRule="exact" w:line="600"/>
              <w:jc w:val="center"/>
            </w:pPr>
            <w:r/>
            <w:r>
              <w:rPr>
                <w:rFonts w:ascii="仿宋_GB2312" w:hAnsi="仿宋_GB2312" w:eastAsia="仿宋_GB2312"/>
                <w:b w:val="0"/>
                <w:color w:val="000000"/>
                <w:sz w:val="32"/>
              </w:rPr>
              <w:t>企业类型</w:t>
            </w:r>
          </w:p>
        </w:tc>
        <w:tc>
          <w:tcPr>
            <w:tcW w:type="dxa" w:w="6236"/>
          </w:tcPr>
          <w:p>
            <w:pPr>
              <w:spacing w:lineRule="exact" w:line="600"/>
              <w:jc w:val="center"/>
            </w:pPr>
            <w:r/>
            <w:r>
              <w:rPr>
                <w:rFonts w:ascii="仿宋_GB2312" w:hAnsi="仿宋_GB2312" w:eastAsia="仿宋_GB2312"/>
                <w:b w:val="0"/>
                <w:color w:val="000000"/>
                <w:sz w:val="32"/>
              </w:rPr>
              <w:t>有限责任公司（外商投资、非独资）</w:t>
            </w:r>
          </w:p>
        </w:tc>
      </w:tr>
      <w:tr>
        <w:tc>
          <w:tcPr>
            <w:tcW w:type="dxa" w:w="2835"/>
          </w:tcPr>
          <w:p>
            <w:pPr>
              <w:spacing w:lineRule="exact" w:line="600"/>
              <w:jc w:val="center"/>
            </w:pPr>
            <w:r/>
            <w:r>
              <w:rPr>
                <w:rFonts w:ascii="仿宋_GB2312" w:hAnsi="仿宋_GB2312" w:eastAsia="仿宋_GB2312"/>
                <w:b w:val="0"/>
                <w:color w:val="000000"/>
                <w:sz w:val="32"/>
              </w:rPr>
              <w:t>控股股东</w:t>
            </w:r>
          </w:p>
        </w:tc>
        <w:tc>
          <w:tcPr>
            <w:tcW w:type="dxa" w:w="6236"/>
          </w:tcPr>
          <w:p>
            <w:pPr>
              <w:spacing w:lineRule="exact" w:line="600"/>
              <w:jc w:val="center"/>
            </w:pPr>
            <w:r/>
            <w:r>
              <w:rPr>
                <w:rFonts w:ascii="仿宋_GB2312" w:hAnsi="仿宋_GB2312" w:eastAsia="仿宋_GB2312"/>
                <w:b w:val="0"/>
                <w:color w:val="000000"/>
                <w:sz w:val="32"/>
              </w:rPr>
              <w:t>泗水英利淀粉制品有限公司（71.8763%）</w:t>
            </w:r>
          </w:p>
        </w:tc>
      </w:tr>
      <w:tr>
        <w:tc>
          <w:tcPr>
            <w:tcW w:type="dxa" w:w="2835"/>
          </w:tcPr>
          <w:p>
            <w:pPr>
              <w:spacing w:lineRule="exact" w:line="600"/>
              <w:jc w:val="center"/>
            </w:pPr>
            <w:r/>
            <w:r>
              <w:rPr>
                <w:rFonts w:ascii="仿宋_GB2312" w:hAnsi="仿宋_GB2312" w:eastAsia="仿宋_GB2312"/>
                <w:b w:val="0"/>
                <w:color w:val="000000"/>
                <w:sz w:val="32"/>
              </w:rPr>
              <w:t>其他股东</w:t>
            </w:r>
          </w:p>
        </w:tc>
        <w:tc>
          <w:tcPr>
            <w:tcW w:type="dxa" w:w="6236"/>
          </w:tcPr>
          <w:p>
            <w:pPr>
              <w:spacing w:lineRule="exact" w:line="600"/>
              <w:jc w:val="center"/>
            </w:pPr>
            <w:r/>
            <w:r>
              <w:rPr>
                <w:rFonts w:ascii="仿宋_GB2312" w:hAnsi="仿宋_GB2312" w:eastAsia="仿宋_GB2312"/>
                <w:b w:val="0"/>
                <w:color w:val="000000"/>
                <w:sz w:val="32"/>
              </w:rPr>
              <w:t>韩国JB贸易株式会社（28.1237%）</w:t>
            </w:r>
          </w:p>
        </w:tc>
      </w:tr>
      <w:tr>
        <w:tc>
          <w:tcPr>
            <w:tcW w:type="dxa" w:w="2835"/>
          </w:tcPr>
          <w:p>
            <w:pPr>
              <w:spacing w:lineRule="exact" w:line="600"/>
              <w:jc w:val="center"/>
            </w:pPr>
            <w:r/>
            <w:r>
              <w:rPr>
                <w:rFonts w:ascii="仿宋_GB2312" w:hAnsi="仿宋_GB2312" w:eastAsia="仿宋_GB2312"/>
                <w:b w:val="0"/>
                <w:color w:val="000000"/>
                <w:sz w:val="32"/>
              </w:rPr>
              <w:t>疑似实控人</w:t>
            </w:r>
          </w:p>
        </w:tc>
        <w:tc>
          <w:tcPr>
            <w:tcW w:type="dxa" w:w="6236"/>
          </w:tcPr>
          <w:p>
            <w:pPr>
              <w:spacing w:lineRule="exact" w:line="600"/>
              <w:jc w:val="center"/>
            </w:pPr>
            <w:r/>
            <w:r>
              <w:rPr>
                <w:rFonts w:ascii="仿宋_GB2312" w:hAnsi="仿宋_GB2312" w:eastAsia="仿宋_GB2312"/>
                <w:b w:val="0"/>
                <w:color w:val="000000"/>
                <w:sz w:val="32"/>
              </w:rPr>
              <w:t>孔庆兴</w:t>
            </w:r>
          </w:p>
        </w:tc>
      </w:tr>
      <w:tr>
        <w:tc>
          <w:tcPr>
            <w:tcW w:type="dxa" w:w="2835"/>
          </w:tcPr>
          <w:p>
            <w:pPr>
              <w:spacing w:lineRule="exact" w:line="600"/>
              <w:jc w:val="center"/>
            </w:pPr>
            <w:r/>
            <w:r>
              <w:rPr>
                <w:rFonts w:ascii="仿宋_GB2312" w:hAnsi="仿宋_GB2312" w:eastAsia="仿宋_GB2312"/>
                <w:b w:val="0"/>
                <w:color w:val="000000"/>
                <w:sz w:val="32"/>
              </w:rPr>
              <w:t>参保人数</w:t>
            </w:r>
          </w:p>
        </w:tc>
        <w:tc>
          <w:tcPr>
            <w:tcW w:type="dxa" w:w="6236"/>
          </w:tcPr>
          <w:p>
            <w:pPr>
              <w:spacing w:lineRule="exact" w:line="600"/>
              <w:jc w:val="center"/>
            </w:pPr>
            <w:r/>
            <w:r>
              <w:rPr>
                <w:rFonts w:ascii="仿宋_GB2312" w:hAnsi="仿宋_GB2312" w:eastAsia="仿宋_GB2312"/>
                <w:b w:val="0"/>
                <w:color w:val="000000"/>
                <w:sz w:val="32"/>
              </w:rPr>
              <w:t>约161人</w:t>
            </w:r>
          </w:p>
        </w:tc>
      </w:tr>
      <w:tr>
        <w:tc>
          <w:tcPr>
            <w:tcW w:type="dxa" w:w="2835"/>
          </w:tcPr>
          <w:p>
            <w:pPr>
              <w:spacing w:lineRule="exact" w:line="600"/>
              <w:jc w:val="center"/>
            </w:pPr>
            <w:r/>
            <w:r>
              <w:rPr>
                <w:rFonts w:ascii="仿宋_GB2312" w:hAnsi="仿宋_GB2312" w:eastAsia="仿宋_GB2312"/>
                <w:b w:val="0"/>
                <w:color w:val="000000"/>
                <w:sz w:val="32"/>
              </w:rPr>
              <w:t>登记状态</w:t>
            </w:r>
          </w:p>
        </w:tc>
        <w:tc>
          <w:tcPr>
            <w:tcW w:type="dxa" w:w="6236"/>
          </w:tcPr>
          <w:p>
            <w:pPr>
              <w:spacing w:lineRule="exact" w:line="600"/>
              <w:jc w:val="center"/>
            </w:pPr>
            <w:r/>
            <w:r>
              <w:rPr>
                <w:rFonts w:ascii="仿宋_GB2312" w:hAnsi="仿宋_GB2312" w:eastAsia="仿宋_GB2312"/>
                <w:b w:val="0"/>
                <w:color w:val="000000"/>
                <w:sz w:val="32"/>
              </w:rPr>
              <w:t>在营（开业）</w:t>
            </w:r>
          </w:p>
        </w:tc>
      </w:tr>
    </w:tbl>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围绕"薯类淀粉及淀粉制品"主业，形成了从甘薯（地瓜）种植订单、鲜薯收购、淀粉加工到粉条（丝）制品、休闲食品生产的纵向一体化业务体系。旗下拥有"柳絮"品牌系列产品的研发、生产与销售主体，并在韩国等海外市场设有渠道合作体系。作为集团化运营企业，公司与控股股东泗水英利淀粉制品有限公司在淀粉原料端形成协同。</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前身可追溯至1978年孔家村创办的地瓜淀粉加工作坊；1995年组建山东柳絮集团；2001年完成改制并成立山东省泗水利丰食品有限公司。企业长期深耕薯类淀粉及粉条产业，逐步发展成为全国最大的薯类淀粉加工基地之一。2019年，公司被认定为"农业产业化国家重点龙头企业"。2025年1月，公司获得"济薯25"高产优质甘薯品种的独占实施许可，强化了上游优质原料保障能力。</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为"全国薯类淀粉及淀粉制品龙头供应商"，主营业务为甘薯淀粉、粉条（丝）、休闲薯类食品的生产与销售，核心产品为"柳絮"牌粉条，远销韩国、日本及欧美等30余个国家与地区，"柳絮"粉条在韩国市场占有率超过40%，并因品质优良成为国内零售企业胖东来的爆款商品。</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公司业务收入以薯类淀粉及粉条制品为主，辅以休闲薯类食品。其中粉条（丝）制品贡献主要收入，淀粉作为中间品与部分外销并行。海外市场（尤其韩国）是公司重要的收入来源地。</w:t>
      </w:r>
    </w:p>
    <w:p>
      <w:pPr>
        <w:spacing w:lineRule="exact" w:line="600" w:before="120" w:after="120"/>
        <w:ind w:firstLine="420"/>
        <w:jc w:val="left"/>
      </w:pPr>
      <w:r>
        <w:rPr>
          <w:rFonts w:ascii="楷体_GB2312" w:hAnsi="楷体_GB2312" w:eastAsia="楷体_GB2312"/>
          <w:b w:val="0"/>
          <w:color w:val="000000"/>
          <w:sz w:val="32"/>
        </w:rPr>
        <w:t>（二）主要产品</w:t>
      </w:r>
    </w:p>
    <w:p>
      <w:pPr>
        <w:spacing w:lineRule="exact" w:line="600" w:before="0" w:after="0"/>
        <w:ind w:firstLine="420"/>
        <w:jc w:val="both"/>
      </w:pPr>
      <w:r>
        <w:rPr>
          <w:rFonts w:ascii="仿宋_GB2312" w:hAnsi="仿宋_GB2312" w:eastAsia="仿宋_GB2312"/>
          <w:b w:val="0"/>
          <w:color w:val="000000"/>
          <w:sz w:val="32"/>
        </w:rPr>
        <w:t>主要产品包括：红薯粉条、红薯淀粉、方便粉丝、休闲薯类零食等。"柳絮"品牌在国内薯类粉条细分领域具有较高知名度，产品以"零添加、传统工艺、绿色食品"为卖点。</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公司客户涵盖海外经销商（韩国为主）、国内商超及电商平台、餐饮连锁及食材批发商。近年来借助胖东来等新零售渠道，国内C端品牌认知显著提升；海外客户以长期合作的韩资贸易商为主，客户黏性较强。</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上游为甘薯（地瓜）种植农户及合作社，公司通过"公司+基地+农户"订单农业模式锁定优质原料，保障鲜薯稳定供应与品质。鲜薯采购具有较强季节性，公司配套建设仓储与加工能力以应对淡旺季波动。</w:t>
      </w:r>
    </w:p>
    <w:p>
      <w:pPr>
        <w:spacing w:lineRule="exact" w:line="600" w:before="120" w:after="120"/>
        <w:ind w:firstLine="420"/>
        <w:jc w:val="left"/>
      </w:pPr>
      <w:r>
        <w:rPr>
          <w:rFonts w:ascii="楷体_GB2312" w:hAnsi="楷体_GB2312" w:eastAsia="楷体_GB2312"/>
          <w:b w:val="0"/>
          <w:color w:val="000000"/>
          <w:sz w:val="32"/>
        </w:rPr>
        <w:t>（五）产能与资源</w:t>
      </w:r>
    </w:p>
    <w:p>
      <w:pPr>
        <w:spacing w:lineRule="exact" w:line="600" w:before="0" w:after="0"/>
        <w:ind w:firstLine="420"/>
        <w:jc w:val="both"/>
      </w:pPr>
      <w:r>
        <w:rPr>
          <w:rFonts w:ascii="仿宋_GB2312" w:hAnsi="仿宋_GB2312" w:eastAsia="仿宋_GB2312"/>
          <w:b w:val="0"/>
          <w:color w:val="000000"/>
          <w:sz w:val="32"/>
        </w:rPr>
        <w:t>公司系全国最大薯类淀粉加工基地之一，具备日加工鲜薯约4,000吨的加工能力，年产值约10亿元规模。依托泗水县及周边甘薯种植带，公司拥有稳定的原料资源与产能基础。</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公司采用"出口+内销"双轮驱动：出口以韩国等东亚市场为核心，通过海外经销商与贸易伙伴覆盖；内销则依托商超、电商（如抖音、天猫等）及新零售渠道（如胖东来）拓展C端市场，并保留B端餐饮与批发渠道。</w:t>
      </w:r>
    </w:p>
    <w:p>
      <w:pPr>
        <w:spacing w:lineRule="exact" w:line="600" w:before="120" w:after="120"/>
        <w:ind w:firstLine="420"/>
        <w:jc w:val="left"/>
      </w:pPr>
      <w:r>
        <w:rPr>
          <w:rFonts w:ascii="楷体_GB2312" w:hAnsi="楷体_GB2312" w:eastAsia="楷体_GB2312"/>
          <w:b w:val="0"/>
          <w:color w:val="000000"/>
          <w:sz w:val="32"/>
        </w:rPr>
        <w:t>（七）经营数据与市场地位</w:t>
      </w:r>
    </w:p>
    <w:p>
      <w:pPr>
        <w:spacing w:lineRule="exact" w:line="600" w:before="0" w:after="0"/>
        <w:ind w:firstLine="420"/>
        <w:jc w:val="both"/>
      </w:pPr>
      <w:r>
        <w:rPr>
          <w:rFonts w:ascii="仿宋_GB2312" w:hAnsi="仿宋_GB2312" w:eastAsia="仿宋_GB2312"/>
          <w:b w:val="0"/>
          <w:color w:val="000000"/>
          <w:sz w:val="32"/>
        </w:rPr>
        <w:t>公开报道显示，公司2023年实现销售收入约12.1亿元；"柳絮"粉条在韩国市场份额超过40%，居领先地位。公司为农业产业化国家重点龙头企业，并入选相关行业冠军与品牌培育名单，在薯类淀粉及粉条细分领域具备较强的市场话语权。</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（一）财务数据披露情况</w:t>
      </w:r>
    </w:p>
    <w:p>
      <w:pPr>
        <w:spacing w:lineRule="exact" w:line="600" w:before="0" w:after="0"/>
        <w:ind w:firstLine="420"/>
        <w:jc w:val="both"/>
      </w:pPr>
      <w:r>
        <w:rPr>
          <w:rFonts w:ascii="仿宋_GB2312" w:hAnsi="仿宋_GB2312" w:eastAsia="仿宋_GB2312"/>
          <w:b w:val="0"/>
          <w:color w:val="000000"/>
          <w:sz w:val="32"/>
        </w:rPr>
        <w:t>利丰食品为非上市企业，未公开披露经审计的年度财务报告，下列仅列示公开渠道可获取的资本与人员规模信息，完整的资产负债表、利润表、现金流量表数据无法公开获取，特此说明，不对未披露财务数据作估计或推测。</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3402"/>
          </w:tcPr>
          <w:p>
            <w:pPr>
              <w:spacing w:lineRule="exact" w:line="600"/>
              <w:jc w:val="center"/>
            </w:pPr>
            <w:r/>
            <w:r>
              <w:rPr>
                <w:rFonts w:ascii="黑体" w:hAnsi="黑体" w:eastAsia="黑体"/>
                <w:b/>
                <w:color w:val="000000"/>
                <w:sz w:val="32"/>
              </w:rPr>
              <w:t>公开可获取数据</w:t>
            </w:r>
          </w:p>
        </w:tc>
        <w:tc>
          <w:tcPr>
            <w:tcW w:type="dxa" w:w="2835"/>
          </w:tcPr>
          <w:p>
            <w:pPr>
              <w:spacing w:lineRule="exact" w:line="600"/>
              <w:jc w:val="center"/>
            </w:pPr>
            <w:r/>
            <w:r>
              <w:rPr>
                <w:rFonts w:ascii="黑体" w:hAnsi="黑体" w:eastAsia="黑体"/>
                <w:b/>
                <w:color w:val="000000"/>
                <w:sz w:val="32"/>
              </w:rPr>
              <w:t>来源/说明</w:t>
            </w:r>
          </w:p>
        </w:tc>
      </w:tr>
      <w:tr>
        <w:tc>
          <w:tcPr>
            <w:tcW w:type="dxa" w:w="2835"/>
          </w:tcPr>
          <w:p>
            <w:pPr>
              <w:spacing w:lineRule="exact" w:line="600"/>
              <w:jc w:val="center"/>
            </w:pPr>
            <w:r/>
            <w:r>
              <w:rPr>
                <w:rFonts w:ascii="仿宋_GB2312" w:hAnsi="仿宋_GB2312" w:eastAsia="仿宋_GB2312"/>
                <w:b w:val="0"/>
                <w:color w:val="000000"/>
                <w:sz w:val="32"/>
              </w:rPr>
              <w:t>注册资本</w:t>
            </w:r>
          </w:p>
        </w:tc>
        <w:tc>
          <w:tcPr>
            <w:tcW w:type="dxa" w:w="3402"/>
          </w:tcPr>
          <w:p>
            <w:pPr>
              <w:spacing w:lineRule="exact" w:line="600"/>
              <w:jc w:val="center"/>
            </w:pPr>
            <w:r/>
            <w:r>
              <w:rPr>
                <w:rFonts w:ascii="仿宋_GB2312" w:hAnsi="仿宋_GB2312" w:eastAsia="仿宋_GB2312"/>
                <w:b w:val="0"/>
                <w:color w:val="000000"/>
                <w:sz w:val="32"/>
              </w:rPr>
              <w:t>16,216.65万元（已实缴）</w:t>
            </w:r>
          </w:p>
        </w:tc>
        <w:tc>
          <w:tcPr>
            <w:tcW w:type="dxa" w:w="2835"/>
          </w:tcPr>
          <w:p>
            <w:pPr>
              <w:spacing w:lineRule="exact" w:line="600"/>
              <w:jc w:val="center"/>
            </w:pPr>
            <w:r/>
            <w:r>
              <w:rPr>
                <w:rFonts w:ascii="仿宋_GB2312" w:hAnsi="仿宋_GB2312" w:eastAsia="仿宋_GB2312"/>
                <w:b w:val="0"/>
                <w:color w:val="000000"/>
                <w:sz w:val="32"/>
              </w:rPr>
              <w:t>工商登记</w:t>
            </w:r>
          </w:p>
        </w:tc>
      </w:tr>
      <w:tr>
        <w:tc>
          <w:tcPr>
            <w:tcW w:type="dxa" w:w="2835"/>
          </w:tcPr>
          <w:p>
            <w:pPr>
              <w:spacing w:lineRule="exact" w:line="600"/>
              <w:jc w:val="center"/>
            </w:pPr>
            <w:r/>
            <w:r>
              <w:rPr>
                <w:rFonts w:ascii="仿宋_GB2312" w:hAnsi="仿宋_GB2312" w:eastAsia="仿宋_GB2312"/>
                <w:b w:val="0"/>
                <w:color w:val="000000"/>
                <w:sz w:val="32"/>
              </w:rPr>
              <w:t>参保人数</w:t>
            </w:r>
          </w:p>
        </w:tc>
        <w:tc>
          <w:tcPr>
            <w:tcW w:type="dxa" w:w="3402"/>
          </w:tcPr>
          <w:p>
            <w:pPr>
              <w:spacing w:lineRule="exact" w:line="600"/>
              <w:jc w:val="center"/>
            </w:pPr>
            <w:r/>
            <w:r>
              <w:rPr>
                <w:rFonts w:ascii="仿宋_GB2312" w:hAnsi="仿宋_GB2312" w:eastAsia="仿宋_GB2312"/>
                <w:b w:val="0"/>
                <w:color w:val="000000"/>
                <w:sz w:val="32"/>
              </w:rPr>
              <w:t>约161人</w:t>
            </w:r>
          </w:p>
        </w:tc>
        <w:tc>
          <w:tcPr>
            <w:tcW w:type="dxa" w:w="2835"/>
          </w:tcPr>
          <w:p>
            <w:pPr>
              <w:spacing w:lineRule="exact" w:line="600"/>
              <w:jc w:val="center"/>
            </w:pPr>
            <w:r/>
            <w:r>
              <w:rPr>
                <w:rFonts w:ascii="仿宋_GB2312" w:hAnsi="仿宋_GB2312" w:eastAsia="仿宋_GB2312"/>
                <w:b w:val="0"/>
                <w:color w:val="000000"/>
                <w:sz w:val="32"/>
              </w:rPr>
              <w:t>工商/年报</w:t>
            </w:r>
          </w:p>
        </w:tc>
      </w:tr>
      <w:tr>
        <w:tc>
          <w:tcPr>
            <w:tcW w:type="dxa" w:w="2835"/>
          </w:tcPr>
          <w:p>
            <w:pPr>
              <w:spacing w:lineRule="exact" w:line="600"/>
              <w:jc w:val="center"/>
            </w:pPr>
            <w:r/>
            <w:r>
              <w:rPr>
                <w:rFonts w:ascii="仿宋_GB2312" w:hAnsi="仿宋_GB2312" w:eastAsia="仿宋_GB2312"/>
                <w:b w:val="0"/>
                <w:color w:val="000000"/>
                <w:sz w:val="32"/>
              </w:rPr>
              <w:t>2023年销售收入</w:t>
            </w:r>
          </w:p>
        </w:tc>
        <w:tc>
          <w:tcPr>
            <w:tcW w:type="dxa" w:w="3402"/>
          </w:tcPr>
          <w:p>
            <w:pPr>
              <w:spacing w:lineRule="exact" w:line="600"/>
              <w:jc w:val="center"/>
            </w:pPr>
            <w:r/>
            <w:r>
              <w:rPr>
                <w:rFonts w:ascii="仿宋_GB2312" w:hAnsi="仿宋_GB2312" w:eastAsia="仿宋_GB2312"/>
                <w:b w:val="0"/>
                <w:color w:val="000000"/>
                <w:sz w:val="32"/>
              </w:rPr>
              <w:t>约12.1亿元</w:t>
            </w:r>
          </w:p>
        </w:tc>
        <w:tc>
          <w:tcPr>
            <w:tcW w:type="dxa" w:w="2835"/>
          </w:tcPr>
          <w:p>
            <w:pPr>
              <w:spacing w:lineRule="exact" w:line="600"/>
              <w:jc w:val="center"/>
            </w:pPr>
            <w:r/>
            <w:r>
              <w:rPr>
                <w:rFonts w:ascii="仿宋_GB2312" w:hAnsi="仿宋_GB2312" w:eastAsia="仿宋_GB2312"/>
                <w:b w:val="0"/>
                <w:color w:val="000000"/>
                <w:sz w:val="32"/>
              </w:rPr>
              <w:t>公开报道</w:t>
            </w:r>
          </w:p>
        </w:tc>
      </w:tr>
      <w:tr>
        <w:tc>
          <w:tcPr>
            <w:tcW w:type="dxa" w:w="2835"/>
          </w:tcPr>
          <w:p>
            <w:pPr>
              <w:spacing w:lineRule="exact" w:line="600"/>
              <w:jc w:val="center"/>
            </w:pPr>
            <w:r/>
            <w:r>
              <w:rPr>
                <w:rFonts w:ascii="仿宋_GB2312" w:hAnsi="仿宋_GB2312" w:eastAsia="仿宋_GB2312"/>
                <w:b w:val="0"/>
                <w:color w:val="000000"/>
                <w:sz w:val="32"/>
              </w:rPr>
              <w:t>年加工鲜薯能力</w:t>
            </w:r>
          </w:p>
        </w:tc>
        <w:tc>
          <w:tcPr>
            <w:tcW w:type="dxa" w:w="3402"/>
          </w:tcPr>
          <w:p>
            <w:pPr>
              <w:spacing w:lineRule="exact" w:line="600"/>
              <w:jc w:val="center"/>
            </w:pPr>
            <w:r/>
            <w:r>
              <w:rPr>
                <w:rFonts w:ascii="仿宋_GB2312" w:hAnsi="仿宋_GB2312" w:eastAsia="仿宋_GB2312"/>
                <w:b w:val="0"/>
                <w:color w:val="000000"/>
                <w:sz w:val="32"/>
              </w:rPr>
              <w:t>约4,000吨/日</w:t>
            </w:r>
          </w:p>
        </w:tc>
        <w:tc>
          <w:tcPr>
            <w:tcW w:type="dxa" w:w="2835"/>
          </w:tcPr>
          <w:p>
            <w:pPr>
              <w:spacing w:lineRule="exact" w:line="600"/>
              <w:jc w:val="center"/>
            </w:pPr>
            <w:r/>
            <w:r>
              <w:rPr>
                <w:rFonts w:ascii="仿宋_GB2312" w:hAnsi="仿宋_GB2312" w:eastAsia="仿宋_GB2312"/>
                <w:b w:val="0"/>
                <w:color w:val="000000"/>
                <w:sz w:val="32"/>
              </w:rPr>
              <w:t>公开报道</w:t>
            </w:r>
          </w:p>
        </w:tc>
      </w:tr>
      <w:tr>
        <w:tc>
          <w:tcPr>
            <w:tcW w:type="dxa" w:w="2835"/>
          </w:tcPr>
          <w:p>
            <w:pPr>
              <w:spacing w:lineRule="exact" w:line="600"/>
              <w:jc w:val="center"/>
            </w:pPr>
            <w:r/>
            <w:r>
              <w:rPr>
                <w:rFonts w:ascii="仿宋_GB2312" w:hAnsi="仿宋_GB2312" w:eastAsia="仿宋_GB2312"/>
                <w:b w:val="0"/>
                <w:color w:val="000000"/>
                <w:sz w:val="32"/>
              </w:rPr>
              <w:t>年产值</w:t>
            </w:r>
          </w:p>
        </w:tc>
        <w:tc>
          <w:tcPr>
            <w:tcW w:type="dxa" w:w="3402"/>
          </w:tcPr>
          <w:p>
            <w:pPr>
              <w:spacing w:lineRule="exact" w:line="600"/>
              <w:jc w:val="center"/>
            </w:pPr>
            <w:r/>
            <w:r>
              <w:rPr>
                <w:rFonts w:ascii="仿宋_GB2312" w:hAnsi="仿宋_GB2312" w:eastAsia="仿宋_GB2312"/>
                <w:b w:val="0"/>
                <w:color w:val="000000"/>
                <w:sz w:val="32"/>
              </w:rPr>
              <w:t>约10亿元</w:t>
            </w:r>
          </w:p>
        </w:tc>
        <w:tc>
          <w:tcPr>
            <w:tcW w:type="dxa" w:w="2835"/>
          </w:tcPr>
          <w:p>
            <w:pPr>
              <w:spacing w:lineRule="exact" w:line="600"/>
              <w:jc w:val="center"/>
            </w:pPr>
            <w:r/>
            <w:r>
              <w:rPr>
                <w:rFonts w:ascii="仿宋_GB2312" w:hAnsi="仿宋_GB2312" w:eastAsia="仿宋_GB2312"/>
                <w:b w:val="0"/>
                <w:color w:val="000000"/>
                <w:sz w:val="32"/>
              </w:rPr>
              <w:t>公开报道</w:t>
            </w:r>
          </w:p>
        </w:tc>
      </w:tr>
      <w:tr>
        <w:tc>
          <w:tcPr>
            <w:tcW w:type="dxa" w:w="2835"/>
          </w:tcPr>
          <w:p>
            <w:pPr>
              <w:spacing w:lineRule="exact" w:line="600"/>
              <w:jc w:val="center"/>
            </w:pPr>
            <w:r/>
            <w:r>
              <w:rPr>
                <w:rFonts w:ascii="仿宋_GB2312" w:hAnsi="仿宋_GB2312" w:eastAsia="仿宋_GB2312"/>
                <w:b w:val="0"/>
                <w:color w:val="000000"/>
                <w:sz w:val="32"/>
              </w:rPr>
              <w:t>资产负债率等</w:t>
            </w:r>
          </w:p>
        </w:tc>
        <w:tc>
          <w:tcPr>
            <w:tcW w:type="dxa" w:w="3402"/>
          </w:tcPr>
          <w:p>
            <w:pPr>
              <w:spacing w:lineRule="exact" w:line="600"/>
              <w:jc w:val="center"/>
            </w:pPr>
            <w:r/>
            <w:r>
              <w:rPr>
                <w:rFonts w:ascii="仿宋_GB2312" w:hAnsi="仿宋_GB2312" w:eastAsia="仿宋_GB2312"/>
                <w:b w:val="0"/>
                <w:color w:val="000000"/>
                <w:sz w:val="32"/>
              </w:rPr>
              <w:t>未公开披露</w:t>
            </w:r>
          </w:p>
        </w:tc>
        <w:tc>
          <w:tcPr>
            <w:tcW w:type="dxa" w:w="2835"/>
          </w:tcPr>
          <w:p>
            <w:pPr>
              <w:spacing w:lineRule="exact" w:line="600"/>
              <w:jc w:val="center"/>
            </w:pPr>
            <w:r/>
            <w:r>
              <w:rPr>
                <w:rFonts w:ascii="仿宋_GB2312" w:hAnsi="仿宋_GB2312" w:eastAsia="仿宋_GB2312"/>
                <w:b w:val="0"/>
                <w:color w:val="000000"/>
                <w:sz w:val="32"/>
              </w:rPr>
              <w:t>财务数据未公开披露</w:t>
            </w:r>
          </w:p>
        </w:tc>
      </w:tr>
    </w:tbl>
    <w:p>
      <w:pPr>
        <w:spacing w:lineRule="exact" w:line="600" w:before="120" w:after="120"/>
        <w:ind w:firstLine="420"/>
        <w:jc w:val="left"/>
      </w:pPr>
      <w:r>
        <w:rPr>
          <w:rFonts w:ascii="楷体_GB2312" w:hAnsi="楷体_GB2312" w:eastAsia="楷体_GB2312"/>
          <w:b w:val="0"/>
          <w:color w:val="000000"/>
          <w:sz w:val="32"/>
        </w:rPr>
        <w:t>（二）盈利与资产质量</w:t>
      </w:r>
    </w:p>
    <w:p>
      <w:pPr>
        <w:spacing w:lineRule="exact" w:line="600" w:before="0" w:after="0"/>
        <w:ind w:firstLine="420"/>
        <w:jc w:val="both"/>
      </w:pPr>
      <w:r>
        <w:rPr>
          <w:rFonts w:ascii="仿宋_GB2312" w:hAnsi="仿宋_GB2312" w:eastAsia="仿宋_GB2312"/>
          <w:b w:val="0"/>
          <w:color w:val="000000"/>
          <w:sz w:val="32"/>
        </w:rPr>
        <w:t>基于2023年销售收入约12.1亿元、年产值约10亿元规模，公司主营薯类淀粉及粉条加工，属于农产品精深加工行业，整体毛利率受原料甘薯价格季节性波动影响。公司作为国家重点龙头企业，享有农业产业化相关补贴与政策支持，盈利稳定性相对较好，但具体盈利指标未公开。</w:t>
      </w:r>
    </w:p>
    <w:p>
      <w:pPr>
        <w:spacing w:lineRule="exact" w:line="600" w:before="120" w:after="120"/>
        <w:ind w:firstLine="420"/>
        <w:jc w:val="left"/>
      </w:pPr>
      <w:r>
        <w:rPr>
          <w:rFonts w:ascii="楷体_GB2312" w:hAnsi="楷体_GB2312" w:eastAsia="楷体_GB2312"/>
          <w:b w:val="0"/>
          <w:color w:val="000000"/>
          <w:sz w:val="32"/>
        </w:rPr>
        <w:t>（三）负债与偿债</w:t>
      </w:r>
    </w:p>
    <w:p>
      <w:pPr>
        <w:spacing w:lineRule="exact" w:line="600" w:before="0" w:after="0"/>
        <w:ind w:firstLine="420"/>
        <w:jc w:val="both"/>
      </w:pPr>
      <w:r>
        <w:rPr>
          <w:rFonts w:ascii="仿宋_GB2312" w:hAnsi="仿宋_GB2312" w:eastAsia="仿宋_GB2312"/>
          <w:b w:val="0"/>
          <w:color w:val="000000"/>
          <w:sz w:val="32"/>
        </w:rPr>
        <w:t>公司财务数据未公开披露，资产负债率、有息负债规模、经营现金流等关键偿债指标无法获取。从资本结构看，公司注册资本已全额实缴，股权结构稳定，资本实力较强。</w:t>
      </w:r>
    </w:p>
    <w:p>
      <w:pPr>
        <w:spacing w:lineRule="exact" w:line="600" w:before="120" w:after="120"/>
        <w:ind w:firstLine="420"/>
        <w:jc w:val="left"/>
      </w:pPr>
      <w:r>
        <w:rPr>
          <w:rFonts w:ascii="楷体_GB2312" w:hAnsi="楷体_GB2312" w:eastAsia="楷体_GB2312"/>
          <w:b w:val="0"/>
          <w:color w:val="000000"/>
          <w:sz w:val="32"/>
        </w:rPr>
        <w:t>（四）关键指标对标</w:t>
      </w:r>
    </w:p>
    <w:p>
      <w:pPr>
        <w:spacing w:lineRule="exact" w:line="600" w:before="0" w:after="0"/>
        <w:ind w:firstLine="420"/>
        <w:jc w:val="both"/>
      </w:pPr>
      <w:r>
        <w:rPr>
          <w:rFonts w:ascii="仿宋_GB2312" w:hAnsi="仿宋_GB2312" w:eastAsia="仿宋_GB2312"/>
          <w:b w:val="0"/>
          <w:color w:val="000000"/>
          <w:sz w:val="32"/>
        </w:rPr>
        <w:t>在薯类淀粉及粉条加工领域，公司以"柳絮"品牌、出口韩国的渠道壁垒及全国最大薯类淀粉加工基地的产能规模形成差异化优势，可比上市公司包括从事淀粉及淀粉制品的企业（如中国淀粉等），但财务口径不可直接对标。</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有限责任公司（外商投资、非独资），设董事会、监事会及经营管理层。法定代表人、董事长陈红岩负责公司战略与经营决策；控股股东泗水英利淀粉制品有限公司派出董事参与治理，韩国JB贸易株式会社作为境外股东参与重大事项决策。</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公司核心管理层由具有多年农产品加工与外贸经验的人员组成，董事长陈红岩长期主导企业战略与品牌建设。管理层在甘薯产业链、出口贸易、食品安全管理方面经验丰富。</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作为食品生产企业，公司建立了一套覆盖原料采购、生产加工、质量检测、仓储物流的质量管理体系，并通过相关食品安全与质量认证。公司注重食品安全合规，产品出口需符合目的国（如韩国）的质量与检疫标准。</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公司参保人数约161人，另在鲜薯收购与加工旺季吸纳大量临时性用工。作为农业产业化龙头企业，公司与周边农户建立了紧密的用工与原料合作关系，带动当地就业与农户增收。</w:t>
      </w:r>
    </w:p>
    <w:p>
      <w:pPr>
        <w:spacing w:lineRule="exact" w:line="600" w:before="120" w:after="120"/>
        <w:ind w:firstLine="420"/>
        <w:jc w:val="left"/>
      </w:pPr>
      <w:r>
        <w:rPr>
          <w:rFonts w:ascii="黑体" w:hAnsi="黑体" w:eastAsia="黑体"/>
          <w:b w:val="0"/>
          <w:color w:val="000000"/>
          <w:sz w:val="32"/>
        </w:rPr>
        <w:t>五、核心竞争力</w:t>
      </w:r>
    </w:p>
    <w:p>
      <w:pPr>
        <w:spacing w:lineRule="exact" w:line="600" w:before="0" w:after="0"/>
        <w:ind w:firstLine="420"/>
        <w:jc w:val="both"/>
      </w:pPr>
      <w:r>
        <w:rPr>
          <w:rFonts w:ascii="仿宋_GB2312" w:hAnsi="仿宋_GB2312" w:eastAsia="仿宋_GB2312"/>
          <w:b w:val="0"/>
          <w:color w:val="000000"/>
          <w:sz w:val="32"/>
        </w:rPr>
        <w:t>一是品牌壁垒："柳絮"为薯类粉条细分领域知名品牌，在韩国市场占有率超40%，品牌认知与渠道壁垒突出。二是产能与资源壁垒：全国最大薯类淀粉加工基地之一，日加工鲜薯约4,000吨，掌握优质甘薯原料资源与订单农业体系。三是技术工艺壁垒：传统粉条工艺结合现代化食品生产线，2025年获"济薯25"独占实施许可强化上游良种保障。四是出口资质与渠道壁垒：长期外贸经验与韩资股东背景，构建了稳定的海外销售网络。五是政策壁垒：农业产业化国家重点龙头企业，享有产业政策支持。</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（一）行业与经营风险</w:t>
      </w:r>
    </w:p>
    <w:p>
      <w:pPr>
        <w:spacing w:lineRule="exact" w:line="600" w:before="0" w:after="0"/>
        <w:ind w:firstLine="420"/>
        <w:jc w:val="both"/>
      </w:pPr>
      <w:r>
        <w:rPr>
          <w:rFonts w:ascii="仿宋_GB2312" w:hAnsi="仿宋_GB2312" w:eastAsia="仿宋_GB2312"/>
          <w:b w:val="0"/>
          <w:color w:val="000000"/>
          <w:sz w:val="32"/>
        </w:rPr>
        <w:t>公司所处农产品加工行业受甘薯产量、收购价格波动影响明显，原料成本季节性变动可能影响盈利；食品安全事件、出口目的地贸易政策变化（如韩国检疫标准调整、关税变动）亦构成潜在风险。</w:t>
      </w:r>
    </w:p>
    <w:p>
      <w:pPr>
        <w:spacing w:lineRule="exact" w:line="600" w:before="120" w:after="120"/>
        <w:ind w:firstLine="420"/>
        <w:jc w:val="left"/>
      </w:pPr>
      <w:r>
        <w:rPr>
          <w:rFonts w:ascii="楷体_GB2312" w:hAnsi="楷体_GB2312" w:eastAsia="楷体_GB2312"/>
          <w:b w:val="0"/>
          <w:color w:val="000000"/>
          <w:sz w:val="32"/>
        </w:rPr>
        <w:t>（二）财务与流动性风险</w:t>
      </w:r>
    </w:p>
    <w:p>
      <w:pPr>
        <w:spacing w:lineRule="exact" w:line="600" w:before="0" w:after="0"/>
        <w:ind w:firstLine="420"/>
        <w:jc w:val="both"/>
      </w:pPr>
      <w:r>
        <w:rPr>
          <w:rFonts w:ascii="仿宋_GB2312" w:hAnsi="仿宋_GB2312" w:eastAsia="仿宋_GB2312"/>
          <w:b w:val="0"/>
          <w:color w:val="000000"/>
          <w:sz w:val="32"/>
        </w:rPr>
        <w:t>公司财务数据未公开披露，外部债权人难以直接评估其真实偿债能力与现金流状况。农产品加工行业存货（鲜薯、淀粉）占款较大，若销售回款周期拉长，可能带来流动性压力。</w:t>
      </w:r>
    </w:p>
    <w:p>
      <w:pPr>
        <w:spacing w:lineRule="exact" w:line="600" w:before="120" w:after="120"/>
        <w:ind w:firstLine="420"/>
        <w:jc w:val="left"/>
      </w:pPr>
      <w:r>
        <w:rPr>
          <w:rFonts w:ascii="楷体_GB2312" w:hAnsi="楷体_GB2312" w:eastAsia="楷体_GB2312"/>
          <w:b w:val="0"/>
          <w:color w:val="000000"/>
          <w:sz w:val="32"/>
        </w:rPr>
        <w:t>（三）集中度风险</w:t>
      </w:r>
    </w:p>
    <w:p>
      <w:pPr>
        <w:spacing w:lineRule="exact" w:line="600" w:before="0" w:after="0"/>
        <w:ind w:firstLine="420"/>
        <w:jc w:val="both"/>
      </w:pPr>
      <w:r>
        <w:rPr>
          <w:rFonts w:ascii="仿宋_GB2312" w:hAnsi="仿宋_GB2312" w:eastAsia="仿宋_GB2312"/>
          <w:b w:val="0"/>
          <w:color w:val="000000"/>
          <w:sz w:val="32"/>
        </w:rPr>
        <w:t>公司收入对韩国市场及"柳絮"粉条单品存在一定依赖，海外市场政策或需求波动将对公司经营产生较大影响。</w:t>
      </w:r>
    </w:p>
    <w:p>
      <w:pPr>
        <w:spacing w:lineRule="exact" w:line="600" w:before="120" w:after="120"/>
        <w:ind w:firstLine="420"/>
        <w:jc w:val="left"/>
      </w:pPr>
      <w:r>
        <w:rPr>
          <w:rFonts w:ascii="楷体_GB2312" w:hAnsi="楷体_GB2312" w:eastAsia="楷体_GB2312"/>
          <w:b w:val="0"/>
          <w:color w:val="000000"/>
          <w:sz w:val="32"/>
        </w:rPr>
        <w:t>（四）应对措施</w:t>
      </w:r>
    </w:p>
    <w:p>
      <w:pPr>
        <w:spacing w:lineRule="exact" w:line="600" w:before="0" w:after="0"/>
        <w:ind w:firstLine="420"/>
        <w:jc w:val="both"/>
      </w:pPr>
      <w:r>
        <w:rPr>
          <w:rFonts w:ascii="仿宋_GB2312" w:hAnsi="仿宋_GB2312" w:eastAsia="仿宋_GB2312"/>
          <w:b w:val="0"/>
          <w:color w:val="000000"/>
          <w:sz w:val="32"/>
        </w:rPr>
        <w:t>公司通过拓展国内新零售与电商渠道（如胖东来、抖音等）降低对单一海外市场的依赖；通过"公司+基地+农户"订单农业平滑原料成本；加强食品安全管理体系建设保障合规经营。</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120" w:after="120"/>
        <w:ind w:firstLine="420"/>
        <w:jc w:val="left"/>
      </w:pPr>
      <w:r>
        <w:rPr>
          <w:rFonts w:ascii="楷体_GB2312" w:hAnsi="楷体_GB2312" w:eastAsia="楷体_GB2312"/>
          <w:b w:val="0"/>
          <w:color w:val="000000"/>
          <w:sz w:val="32"/>
        </w:rPr>
        <w:t>（一）供应链金融</w:t>
      </w:r>
    </w:p>
    <w:p>
      <w:pPr>
        <w:spacing w:lineRule="exact" w:line="600" w:before="0" w:after="0"/>
        <w:ind w:firstLine="420"/>
        <w:jc w:val="both"/>
      </w:pPr>
      <w:r>
        <w:rPr>
          <w:rFonts w:ascii="仿宋_GB2312" w:hAnsi="仿宋_GB2312" w:eastAsia="仿宋_GB2312"/>
          <w:b w:val="0"/>
          <w:color w:val="000000"/>
          <w:sz w:val="32"/>
        </w:rPr>
        <w:t>公司上游为大量甘薯种植农户与合作社，存在真实的原料采购应收账款与预付场景，可依托山东投资旗下供应链金融平台，为农户与合作社提供订单融资、预付款融资，稳定原料供应。</w:t>
      </w:r>
    </w:p>
    <w:p>
      <w:pPr>
        <w:spacing w:lineRule="exact" w:line="600" w:before="120" w:after="120"/>
        <w:ind w:firstLine="420"/>
        <w:jc w:val="left"/>
      </w:pPr>
      <w:r>
        <w:rPr>
          <w:rFonts w:ascii="楷体_GB2312" w:hAnsi="楷体_GB2312" w:eastAsia="楷体_GB2312"/>
          <w:b w:val="0"/>
          <w:color w:val="000000"/>
          <w:sz w:val="32"/>
        </w:rPr>
        <w:t>（二）保理业务</w:t>
      </w:r>
    </w:p>
    <w:p>
      <w:pPr>
        <w:spacing w:lineRule="exact" w:line="600" w:before="0" w:after="0"/>
        <w:ind w:firstLine="420"/>
        <w:jc w:val="both"/>
      </w:pPr>
      <w:r>
        <w:rPr>
          <w:rFonts w:ascii="仿宋_GB2312" w:hAnsi="仿宋_GB2312" w:eastAsia="仿宋_GB2312"/>
          <w:b w:val="0"/>
          <w:color w:val="000000"/>
          <w:sz w:val="32"/>
        </w:rPr>
        <w:t>公司对海外经销商及国内商超存在应收账款，可开展国内/国际保理业务，盘活应收账款、改善现金流。</w:t>
      </w:r>
    </w:p>
    <w:p>
      <w:pPr>
        <w:spacing w:lineRule="exact" w:line="600" w:before="120" w:after="120"/>
        <w:ind w:firstLine="420"/>
        <w:jc w:val="left"/>
      </w:pPr>
      <w:r>
        <w:rPr>
          <w:rFonts w:ascii="楷体_GB2312" w:hAnsi="楷体_GB2312" w:eastAsia="楷体_GB2312"/>
          <w:b w:val="0"/>
          <w:color w:val="000000"/>
          <w:sz w:val="32"/>
        </w:rPr>
        <w:t>（三）融资租赁</w:t>
      </w:r>
    </w:p>
    <w:p>
      <w:pPr>
        <w:spacing w:lineRule="exact" w:line="600" w:before="0" w:after="0"/>
        <w:ind w:firstLine="420"/>
        <w:jc w:val="both"/>
      </w:pPr>
      <w:r>
        <w:rPr>
          <w:rFonts w:ascii="仿宋_GB2312" w:hAnsi="仿宋_GB2312" w:eastAsia="仿宋_GB2312"/>
          <w:b w:val="0"/>
          <w:color w:val="000000"/>
          <w:sz w:val="32"/>
        </w:rPr>
        <w:t>公司若进行生产线智能化改造、仓储冷链升级，可通过融资租赁方式获取设备，减轻一次性资本开支压力。</w:t>
      </w:r>
    </w:p>
    <w:p>
      <w:pPr>
        <w:spacing w:lineRule="exact" w:line="600" w:before="120" w:after="120"/>
        <w:ind w:firstLine="420"/>
        <w:jc w:val="left"/>
      </w:pPr>
      <w:r>
        <w:rPr>
          <w:rFonts w:ascii="楷体_GB2312" w:hAnsi="楷体_GB2312" w:eastAsia="楷体_GB2312"/>
          <w:b w:val="0"/>
          <w:color w:val="000000"/>
          <w:sz w:val="32"/>
        </w:rPr>
        <w:t>（四）小额贷款</w:t>
      </w:r>
    </w:p>
    <w:p>
      <w:pPr>
        <w:spacing w:lineRule="exact" w:line="600" w:before="0" w:after="0"/>
        <w:ind w:firstLine="420"/>
        <w:jc w:val="both"/>
      </w:pPr>
      <w:r>
        <w:rPr>
          <w:rFonts w:ascii="仿宋_GB2312" w:hAnsi="仿宋_GB2312" w:eastAsia="仿宋_GB2312"/>
          <w:b w:val="0"/>
          <w:color w:val="000000"/>
          <w:sz w:val="32"/>
        </w:rPr>
        <w:t>针对季节性鲜薯收购的资金周转高峰，可通过小贷产品提供短期流动性支持，保障收购季资金链稳定。</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来看，山东省泗水利丰食品有限公司是泗水县食品加工特色产业集群的链主企业，深耕薯类淀粉及粉条加工四十余年，凭借"柳絮"品牌、全国领先的产能规模及韩国市场渠道壁垒，确立了细分领域龙头地位，并获农业产业化国家重点龙头企业等资质，产业基础扎实。</w:t>
      </w:r>
    </w:p>
    <w:p>
      <w:pPr>
        <w:spacing w:lineRule="exact" w:line="600" w:before="0" w:after="0"/>
        <w:ind w:firstLine="420"/>
        <w:jc w:val="both"/>
      </w:pPr>
      <w:r>
        <w:rPr>
          <w:rFonts w:ascii="仿宋_GB2312" w:hAnsi="仿宋_GB2312" w:eastAsia="仿宋_GB2312"/>
          <w:b w:val="0"/>
          <w:color w:val="000000"/>
          <w:sz w:val="32"/>
        </w:rPr>
        <w:t>发展展望：随着国内新零售与预制菜消费升级，以及"济薯25"等良种资源加持，公司有望在内销市场实现品牌放量；同时可依托绿色低碳加工与数字化转型提升效率。</w:t>
      </w:r>
    </w:p>
    <w:p>
      <w:pPr>
        <w:spacing w:lineRule="exact" w:line="600" w:before="0" w:after="0"/>
        <w:ind w:firstLine="420"/>
        <w:jc w:val="both"/>
      </w:pPr>
      <w:r>
        <w:rPr>
          <w:rFonts w:ascii="仿宋_GB2312" w:hAnsi="仿宋_GB2312" w:eastAsia="仿宋_GB2312"/>
          <w:b w:val="0"/>
          <w:color w:val="000000"/>
          <w:sz w:val="32"/>
        </w:rPr>
        <w:t>建议：一是加快财务规范化与信息披露，为后续可能的资本运作与融资协同创造条件；二是通过山东投资旗下供应链金融、保理等工具优化上游资金链与应收账款管理；三是适度拓展产品线（如方便粉丝、休闲薯食）以分散单品依赖风险；四是强化食品安全与出口合规体系，巩固韩国等优势市场。</w:t>
      </w:r>
    </w:p>
    <w:p>
      <w:pPr>
        <w:spacing w:lineRule="exact" w:line="600" w:before="0" w:after="0"/>
        <w:jc w:val="left"/>
      </w:pPr>
      <w:r>
        <w:rPr>
          <w:rFonts w:ascii="仿宋_GB2312" w:hAnsi="仿宋_GB2312" w:eastAsia="仿宋_GB2312"/>
          <w:b w:val="0"/>
          <w:color w:val="000000"/>
          <w:sz w:val="28"/>
        </w:rPr>
        <w:t>数据来源说明：本报告的工商信息来源于国家企业信用信息公示系统、天眼查/爱企查；经营与市场数据来源于新华社、泗水县政府公开信息及相关公开报道；财务数据因非上市企业未公开披露，已如实标注。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