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泗水县食品加工特色产业集群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山东锦川食品有限公司企业分析报告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爱企查、企业官网（ssjchs.com）等公开渠道，统计时点截至最新可查披露信息。注：工商登记企业名称多显示为"泗水县锦川花生食品有限公司"，本报告依据批次要求统一使用"山东锦川食品有限公司"。该公司为非上市企业，财务数据未公开披露，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锦川食品有限公司（工商常见登记名称为泗水县锦川花生食品有限公司）统一社会信用代码为9137083166441445XQ，成立于2007年7月2日，法定代表人为苏岩。公司注册资本3,000万元，实缴资本1,100万元。注册地址位于山东省济宁市泗水县。公司主营花生制品、休闲食品的生产与销售。</w:t>
      </w:r>
    </w:p>
    <w:p>
      <w:pPr>
        <w:spacing w:lineRule="exact" w:line="600" w:before="0" w:after="0"/>
        <w:ind w:firstLine="420"/>
        <w:jc w:val="both"/>
      </w:pPr>
      <w:r>
        <w:rPr>
          <w:rFonts w:ascii="仿宋_GB2312" w:hAnsi="仿宋_GB2312" w:eastAsia="仿宋_GB2312"/>
          <w:b w:val="0"/>
          <w:color w:val="000000"/>
          <w:sz w:val="32"/>
        </w:rPr>
        <w:t>股权结构方面，孙献慧持股78.67%为控股股东、实际控制人，苏岩持股21.33%并担任法定代表人。公司参保人数约37人，属小微企业，是泗水县食品加工特色产业集群的骨干企业之一。</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项目</w:t>
            </w:r>
          </w:p>
        </w:tc>
        <w:tc>
          <w:tcPr>
            <w:tcW w:type="dxa" w:w="6236"/>
          </w:tcPr>
          <w:p>
            <w:pPr>
              <w:spacing w:lineRule="exact" w:line="600"/>
              <w:jc w:val="center"/>
            </w:pPr>
            <w:r/>
            <w:r>
              <w:rPr>
                <w:rFonts w:ascii="黑体" w:hAnsi="黑体" w:eastAsia="黑体"/>
                <w:b/>
                <w:color w:val="000000"/>
                <w:sz w:val="32"/>
              </w:rPr>
              <w:t>内容</w:t>
            </w:r>
          </w:p>
        </w:tc>
      </w:tr>
      <w:tr>
        <w:tc>
          <w:tcPr>
            <w:tcW w:type="dxa" w:w="2835"/>
          </w:tcPr>
          <w:p>
            <w:pPr>
              <w:spacing w:lineRule="exact" w:line="600"/>
              <w:jc w:val="center"/>
            </w:pPr>
            <w:r/>
            <w:r>
              <w:rPr>
                <w:rFonts w:ascii="仿宋_GB2312" w:hAnsi="仿宋_GB2312" w:eastAsia="仿宋_GB2312"/>
                <w:b w:val="0"/>
                <w:color w:val="000000"/>
                <w:sz w:val="32"/>
              </w:rPr>
              <w:t>统一社会信用代码</w:t>
            </w:r>
          </w:p>
        </w:tc>
        <w:tc>
          <w:tcPr>
            <w:tcW w:type="dxa" w:w="6236"/>
          </w:tcPr>
          <w:p>
            <w:pPr>
              <w:spacing w:lineRule="exact" w:line="600"/>
              <w:jc w:val="center"/>
            </w:pPr>
            <w:r/>
            <w:r>
              <w:rPr>
                <w:rFonts w:ascii="仿宋_GB2312" w:hAnsi="仿宋_GB2312" w:eastAsia="仿宋_GB2312"/>
                <w:b w:val="0"/>
                <w:color w:val="000000"/>
                <w:sz w:val="32"/>
              </w:rPr>
              <w:t>9137083166441445XQ</w:t>
            </w:r>
          </w:p>
        </w:tc>
      </w:tr>
      <w:tr>
        <w:tc>
          <w:tcPr>
            <w:tcW w:type="dxa" w:w="2835"/>
          </w:tcPr>
          <w:p>
            <w:pPr>
              <w:spacing w:lineRule="exact" w:line="600"/>
              <w:jc w:val="center"/>
            </w:pPr>
            <w:r/>
            <w:r>
              <w:rPr>
                <w:rFonts w:ascii="仿宋_GB2312" w:hAnsi="仿宋_GB2312" w:eastAsia="仿宋_GB2312"/>
                <w:b w:val="0"/>
                <w:color w:val="000000"/>
                <w:sz w:val="32"/>
              </w:rPr>
              <w:t>成立日期</w:t>
            </w:r>
          </w:p>
        </w:tc>
        <w:tc>
          <w:tcPr>
            <w:tcW w:type="dxa" w:w="6236"/>
          </w:tcPr>
          <w:p>
            <w:pPr>
              <w:spacing w:lineRule="exact" w:line="600"/>
              <w:jc w:val="center"/>
            </w:pPr>
            <w:r/>
            <w:r>
              <w:rPr>
                <w:rFonts w:ascii="仿宋_GB2312" w:hAnsi="仿宋_GB2312" w:eastAsia="仿宋_GB2312"/>
                <w:b w:val="0"/>
                <w:color w:val="000000"/>
                <w:sz w:val="32"/>
              </w:rPr>
              <w:t>2007年7月2日</w:t>
            </w:r>
          </w:p>
        </w:tc>
      </w:tr>
      <w:tr>
        <w:tc>
          <w:tcPr>
            <w:tcW w:type="dxa" w:w="2835"/>
          </w:tcPr>
          <w:p>
            <w:pPr>
              <w:spacing w:lineRule="exact" w:line="600"/>
              <w:jc w:val="center"/>
            </w:pPr>
            <w:r/>
            <w:r>
              <w:rPr>
                <w:rFonts w:ascii="仿宋_GB2312" w:hAnsi="仿宋_GB2312" w:eastAsia="仿宋_GB2312"/>
                <w:b w:val="0"/>
                <w:color w:val="000000"/>
                <w:sz w:val="32"/>
              </w:rPr>
              <w:t>法定代表人</w:t>
            </w:r>
          </w:p>
        </w:tc>
        <w:tc>
          <w:tcPr>
            <w:tcW w:type="dxa" w:w="6236"/>
          </w:tcPr>
          <w:p>
            <w:pPr>
              <w:spacing w:lineRule="exact" w:line="600"/>
              <w:jc w:val="center"/>
            </w:pPr>
            <w:r/>
            <w:r>
              <w:rPr>
                <w:rFonts w:ascii="仿宋_GB2312" w:hAnsi="仿宋_GB2312" w:eastAsia="仿宋_GB2312"/>
                <w:b w:val="0"/>
                <w:color w:val="000000"/>
                <w:sz w:val="32"/>
              </w:rPr>
              <w:t>苏岩</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3,000万元（实缴1,100万元）</w:t>
            </w:r>
          </w:p>
        </w:tc>
      </w:tr>
      <w:tr>
        <w:tc>
          <w:tcPr>
            <w:tcW w:type="dxa" w:w="2835"/>
          </w:tcPr>
          <w:p>
            <w:pPr>
              <w:spacing w:lineRule="exact" w:line="600"/>
              <w:jc w:val="center"/>
            </w:pPr>
            <w:r/>
            <w:r>
              <w:rPr>
                <w:rFonts w:ascii="仿宋_GB2312" w:hAnsi="仿宋_GB2312" w:eastAsia="仿宋_GB2312"/>
                <w:b w:val="0"/>
                <w:color w:val="000000"/>
                <w:sz w:val="32"/>
              </w:rPr>
              <w:t>控股股东/实控人</w:t>
            </w:r>
          </w:p>
        </w:tc>
        <w:tc>
          <w:tcPr>
            <w:tcW w:type="dxa" w:w="6236"/>
          </w:tcPr>
          <w:p>
            <w:pPr>
              <w:spacing w:lineRule="exact" w:line="600"/>
              <w:jc w:val="center"/>
            </w:pPr>
            <w:r/>
            <w:r>
              <w:rPr>
                <w:rFonts w:ascii="仿宋_GB2312" w:hAnsi="仿宋_GB2312" w:eastAsia="仿宋_GB2312"/>
                <w:b w:val="0"/>
                <w:color w:val="000000"/>
                <w:sz w:val="32"/>
              </w:rPr>
              <w:t>孙献慧（78.67%）</w:t>
            </w:r>
          </w:p>
        </w:tc>
      </w:tr>
      <w:tr>
        <w:tc>
          <w:tcPr>
            <w:tcW w:type="dxa" w:w="2835"/>
          </w:tcPr>
          <w:p>
            <w:pPr>
              <w:spacing w:lineRule="exact" w:line="600"/>
              <w:jc w:val="center"/>
            </w:pPr>
            <w:r/>
            <w:r>
              <w:rPr>
                <w:rFonts w:ascii="仿宋_GB2312" w:hAnsi="仿宋_GB2312" w:eastAsia="仿宋_GB2312"/>
                <w:b w:val="0"/>
                <w:color w:val="000000"/>
                <w:sz w:val="32"/>
              </w:rPr>
              <w:t>其他股东</w:t>
            </w:r>
          </w:p>
        </w:tc>
        <w:tc>
          <w:tcPr>
            <w:tcW w:type="dxa" w:w="6236"/>
          </w:tcPr>
          <w:p>
            <w:pPr>
              <w:spacing w:lineRule="exact" w:line="600"/>
              <w:jc w:val="center"/>
            </w:pPr>
            <w:r/>
            <w:r>
              <w:rPr>
                <w:rFonts w:ascii="仿宋_GB2312" w:hAnsi="仿宋_GB2312" w:eastAsia="仿宋_GB2312"/>
                <w:b w:val="0"/>
                <w:color w:val="000000"/>
                <w:sz w:val="32"/>
              </w:rPr>
              <w:t>苏岩（21.33%）</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约37人</w:t>
            </w:r>
          </w:p>
        </w:tc>
      </w:tr>
      <w:tr>
        <w:tc>
          <w:tcPr>
            <w:tcW w:type="dxa" w:w="2835"/>
          </w:tcPr>
          <w:p>
            <w:pPr>
              <w:spacing w:lineRule="exact" w:line="600"/>
              <w:jc w:val="center"/>
            </w:pPr>
            <w:r/>
            <w:r>
              <w:rPr>
                <w:rFonts w:ascii="仿宋_GB2312" w:hAnsi="仿宋_GB2312" w:eastAsia="仿宋_GB2312"/>
                <w:b w:val="0"/>
                <w:color w:val="000000"/>
                <w:sz w:val="32"/>
              </w:rPr>
              <w:t>登记状态</w:t>
            </w:r>
          </w:p>
        </w:tc>
        <w:tc>
          <w:tcPr>
            <w:tcW w:type="dxa" w:w="6236"/>
          </w:tcPr>
          <w:p>
            <w:pPr>
              <w:spacing w:lineRule="exact" w:line="600"/>
              <w:jc w:val="center"/>
            </w:pPr>
            <w:r/>
            <w:r>
              <w:rPr>
                <w:rFonts w:ascii="仿宋_GB2312" w:hAnsi="仿宋_GB2312" w:eastAsia="仿宋_GB2312"/>
                <w:b w:val="0"/>
                <w:color w:val="000000"/>
                <w:sz w:val="32"/>
              </w:rPr>
              <w:t>在营（开业）</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公司围绕花生休闲食品主业，形成研发、生产、销售一体化的经营模式，旗下"酒鬼花生"等系列产品通过商超、流通与电商渠道销售。公司规模较小，组织层级精简。</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公司前身为泗水县锦川花生食品有限公司，成立于2007年，长期深耕花生休闲食品领域，逐步打造出"酒鬼花生"等区域知名产品系列，是泗水县食品加工产业集群中粮油及休闲制品方向的代表企业。</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花生休闲食品专业供应商"，主营业务为花生制品（酒鬼花生等）及休闲零食的研发、生产与销售。核心产品为"酒鬼花生"系列，相关介绍称系列产品年产约10万吨（按批次公开描述），是公司的标志性单品。</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公司收入以花生休闲食品为主，其中"酒鬼花生"系列为核心品类，辅以其他坚果炒货及休闲零食。业务结构相对单一，以单品驱动。</w:t>
      </w:r>
    </w:p>
    <w:p>
      <w:pPr>
        <w:spacing w:lineRule="exact" w:line="600" w:before="120" w:after="120"/>
        <w:ind w:firstLine="420"/>
        <w:jc w:val="left"/>
      </w:pPr>
      <w:r>
        <w:rPr>
          <w:rFonts w:ascii="楷体_GB2312" w:hAnsi="楷体_GB2312" w:eastAsia="楷体_GB2312"/>
          <w:b w:val="0"/>
          <w:color w:val="000000"/>
          <w:sz w:val="32"/>
        </w:rPr>
        <w:t>（二）主要产品</w:t>
      </w:r>
    </w:p>
    <w:p>
      <w:pPr>
        <w:spacing w:lineRule="exact" w:line="600" w:before="0" w:after="0"/>
        <w:ind w:firstLine="420"/>
        <w:jc w:val="both"/>
      </w:pPr>
      <w:r>
        <w:rPr>
          <w:rFonts w:ascii="仿宋_GB2312" w:hAnsi="仿宋_GB2312" w:eastAsia="仿宋_GB2312"/>
          <w:b w:val="0"/>
          <w:color w:val="000000"/>
          <w:sz w:val="32"/>
        </w:rPr>
        <w:t>主要产品包括：酒鬼花生、油炸/烘烤花生、调味花生及其他休闲坚果炒货。产品以香脆、入味、休闲零食定位为主，适配佐餐、下酒、零食等消费场景。</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公司客户主要为商超、便利店、农贸批发市场及电商渠道经销商，终端消费者以休闲零食与佐餐消费为主。作为区域品牌，客户集中度高但单客规模有限。</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上游为花生种植农户及贸易商，花生原料价格受产量与行情波动影响。公司通过稳定采购渠道保障原料供应。</w:t>
      </w:r>
    </w:p>
    <w:p>
      <w:pPr>
        <w:spacing w:lineRule="exact" w:line="600" w:before="120" w:after="120"/>
        <w:ind w:firstLine="420"/>
        <w:jc w:val="left"/>
      </w:pPr>
      <w:r>
        <w:rPr>
          <w:rFonts w:ascii="楷体_GB2312" w:hAnsi="楷体_GB2312" w:eastAsia="楷体_GB2312"/>
          <w:b w:val="0"/>
          <w:color w:val="000000"/>
          <w:sz w:val="32"/>
        </w:rPr>
        <w:t>（五）产能与资源</w:t>
      </w:r>
    </w:p>
    <w:p>
      <w:pPr>
        <w:spacing w:lineRule="exact" w:line="600" w:before="0" w:after="0"/>
        <w:ind w:firstLine="420"/>
        <w:jc w:val="both"/>
      </w:pPr>
      <w:r>
        <w:rPr>
          <w:rFonts w:ascii="仿宋_GB2312" w:hAnsi="仿宋_GB2312" w:eastAsia="仿宋_GB2312"/>
          <w:b w:val="0"/>
          <w:color w:val="000000"/>
          <w:sz w:val="32"/>
        </w:rPr>
        <w:t>公司具备花生休闲食品规模化生产能力，公开介绍称系列产品年产约10万吨（按批次描述）。具体产能与设备规模因非上市未披露。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公司采用"经销+流通+电商"的销售模式，依托"酒鬼花生"品牌认知在区域市场铺货，并通过电商平台拓展全国销售。</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公开历史介绍显示公司年销售额约1亿元规模；"酒鬼花生"在区域休闲花生品类具有较高知名度。作为小微企业，公司在细分品类具备一定品牌基础，但整体规模有限。</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w:t>
      </w:r>
    </w:p>
    <w:p>
      <w:pPr>
        <w:spacing w:lineRule="exact" w:line="600" w:before="0" w:after="0"/>
        <w:ind w:firstLine="420"/>
        <w:jc w:val="both"/>
      </w:pPr>
      <w:r>
        <w:rPr>
          <w:rFonts w:ascii="仿宋_GB2312" w:hAnsi="仿宋_GB2312" w:eastAsia="仿宋_GB2312"/>
          <w:b w:val="0"/>
          <w:color w:val="000000"/>
          <w:sz w:val="32"/>
        </w:rPr>
        <w:t>山东锦川食品有限公司为非上市小微企业，未公开披露经审计的年度财务报告，下列仅列示公开渠道可获取的资本与人员规模信息，完整的资产负债表、利润表、现金流量表数据无法公开获取，特此说明，不对未披露财务数据作估计或推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402"/>
          </w:tcPr>
          <w:p>
            <w:pPr>
              <w:spacing w:lineRule="exact" w:line="600"/>
              <w:jc w:val="center"/>
            </w:pPr>
            <w:r/>
            <w:r>
              <w:rPr>
                <w:rFonts w:ascii="黑体" w:hAnsi="黑体" w:eastAsia="黑体"/>
                <w:b/>
                <w:color w:val="000000"/>
                <w:sz w:val="32"/>
              </w:rPr>
              <w:t>公开可获取数据</w:t>
            </w:r>
          </w:p>
        </w:tc>
        <w:tc>
          <w:tcPr>
            <w:tcW w:type="dxa" w:w="2835"/>
          </w:tcPr>
          <w:p>
            <w:pPr>
              <w:spacing w:lineRule="exact" w:line="600"/>
              <w:jc w:val="center"/>
            </w:pPr>
            <w:r/>
            <w:r>
              <w:rPr>
                <w:rFonts w:ascii="黑体" w:hAnsi="黑体" w:eastAsia="黑体"/>
                <w:b/>
                <w:color w:val="000000"/>
                <w:sz w:val="32"/>
              </w:rPr>
              <w:t>来源/说明</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3402"/>
          </w:tcPr>
          <w:p>
            <w:pPr>
              <w:spacing w:lineRule="exact" w:line="600"/>
              <w:jc w:val="center"/>
            </w:pPr>
            <w:r/>
            <w:r>
              <w:rPr>
                <w:rFonts w:ascii="仿宋_GB2312" w:hAnsi="仿宋_GB2312" w:eastAsia="仿宋_GB2312"/>
                <w:b w:val="0"/>
                <w:color w:val="000000"/>
                <w:sz w:val="32"/>
              </w:rPr>
              <w:t>3,000万元（实缴1,100万元）</w:t>
            </w:r>
          </w:p>
        </w:tc>
        <w:tc>
          <w:tcPr>
            <w:tcW w:type="dxa" w:w="2835"/>
          </w:tcPr>
          <w:p>
            <w:pPr>
              <w:spacing w:lineRule="exact" w:line="600"/>
              <w:jc w:val="center"/>
            </w:pPr>
            <w:r/>
            <w:r>
              <w:rPr>
                <w:rFonts w:ascii="仿宋_GB2312" w:hAnsi="仿宋_GB2312" w:eastAsia="仿宋_GB2312"/>
                <w:b w:val="0"/>
                <w:color w:val="000000"/>
                <w:sz w:val="32"/>
              </w:rPr>
              <w:t>工商登记</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3402"/>
          </w:tcPr>
          <w:p>
            <w:pPr>
              <w:spacing w:lineRule="exact" w:line="600"/>
              <w:jc w:val="center"/>
            </w:pPr>
            <w:r/>
            <w:r>
              <w:rPr>
                <w:rFonts w:ascii="仿宋_GB2312" w:hAnsi="仿宋_GB2312" w:eastAsia="仿宋_GB2312"/>
                <w:b w:val="0"/>
                <w:color w:val="000000"/>
                <w:sz w:val="32"/>
              </w:rPr>
              <w:t>约37人</w:t>
            </w:r>
          </w:p>
        </w:tc>
        <w:tc>
          <w:tcPr>
            <w:tcW w:type="dxa" w:w="2835"/>
          </w:tcPr>
          <w:p>
            <w:pPr>
              <w:spacing w:lineRule="exact" w:line="600"/>
              <w:jc w:val="center"/>
            </w:pPr>
            <w:r/>
            <w:r>
              <w:rPr>
                <w:rFonts w:ascii="仿宋_GB2312" w:hAnsi="仿宋_GB2312" w:eastAsia="仿宋_GB2312"/>
                <w:b w:val="0"/>
                <w:color w:val="000000"/>
                <w:sz w:val="32"/>
              </w:rPr>
              <w:t>工商/年报</w:t>
            </w:r>
          </w:p>
        </w:tc>
      </w:tr>
      <w:tr>
        <w:tc>
          <w:tcPr>
            <w:tcW w:type="dxa" w:w="2835"/>
          </w:tcPr>
          <w:p>
            <w:pPr>
              <w:spacing w:lineRule="exact" w:line="600"/>
              <w:jc w:val="center"/>
            </w:pPr>
            <w:r/>
            <w:r>
              <w:rPr>
                <w:rFonts w:ascii="仿宋_GB2312" w:hAnsi="仿宋_GB2312" w:eastAsia="仿宋_GB2312"/>
                <w:b w:val="0"/>
                <w:color w:val="000000"/>
                <w:sz w:val="32"/>
              </w:rPr>
              <w:t>历史年销售额</w:t>
            </w:r>
          </w:p>
        </w:tc>
        <w:tc>
          <w:tcPr>
            <w:tcW w:type="dxa" w:w="3402"/>
          </w:tcPr>
          <w:p>
            <w:pPr>
              <w:spacing w:lineRule="exact" w:line="600"/>
              <w:jc w:val="center"/>
            </w:pPr>
            <w:r/>
            <w:r>
              <w:rPr>
                <w:rFonts w:ascii="仿宋_GB2312" w:hAnsi="仿宋_GB2312" w:eastAsia="仿宋_GB2312"/>
                <w:b w:val="0"/>
                <w:color w:val="000000"/>
                <w:sz w:val="32"/>
              </w:rPr>
              <w:t>约1亿元（旧介绍）</w:t>
            </w:r>
          </w:p>
        </w:tc>
        <w:tc>
          <w:tcPr>
            <w:tcW w:type="dxa" w:w="2835"/>
          </w:tcPr>
          <w:p>
            <w:pPr>
              <w:spacing w:lineRule="exact" w:line="600"/>
              <w:jc w:val="center"/>
            </w:pPr>
            <w:r/>
            <w:r>
              <w:rPr>
                <w:rFonts w:ascii="仿宋_GB2312" w:hAnsi="仿宋_GB2312" w:eastAsia="仿宋_GB2312"/>
                <w:b w:val="0"/>
                <w:color w:val="000000"/>
                <w:sz w:val="32"/>
              </w:rPr>
              <w:t>公开报道</w:t>
            </w:r>
          </w:p>
        </w:tc>
      </w:tr>
      <w:tr>
        <w:tc>
          <w:tcPr>
            <w:tcW w:type="dxa" w:w="2835"/>
          </w:tcPr>
          <w:p>
            <w:pPr>
              <w:spacing w:lineRule="exact" w:line="600"/>
              <w:jc w:val="center"/>
            </w:pPr>
            <w:r/>
            <w:r>
              <w:rPr>
                <w:rFonts w:ascii="仿宋_GB2312" w:hAnsi="仿宋_GB2312" w:eastAsia="仿宋_GB2312"/>
                <w:b w:val="0"/>
                <w:color w:val="000000"/>
                <w:sz w:val="32"/>
              </w:rPr>
              <w:t>核心产品产能</w:t>
            </w:r>
          </w:p>
        </w:tc>
        <w:tc>
          <w:tcPr>
            <w:tcW w:type="dxa" w:w="3402"/>
          </w:tcPr>
          <w:p>
            <w:pPr>
              <w:spacing w:lineRule="exact" w:line="600"/>
              <w:jc w:val="center"/>
            </w:pPr>
            <w:r/>
            <w:r>
              <w:rPr>
                <w:rFonts w:ascii="仿宋_GB2312" w:hAnsi="仿宋_GB2312" w:eastAsia="仿宋_GB2312"/>
                <w:b w:val="0"/>
                <w:color w:val="000000"/>
                <w:sz w:val="32"/>
              </w:rPr>
              <w:t>酒鬼花生系列年产约10万吨（批次描述）</w:t>
            </w:r>
          </w:p>
        </w:tc>
        <w:tc>
          <w:tcPr>
            <w:tcW w:type="dxa" w:w="2835"/>
          </w:tcPr>
          <w:p>
            <w:pPr>
              <w:spacing w:lineRule="exact" w:line="600"/>
              <w:jc w:val="center"/>
            </w:pPr>
            <w:r/>
            <w:r>
              <w:rPr>
                <w:rFonts w:ascii="仿宋_GB2312" w:hAnsi="仿宋_GB2312" w:eastAsia="仿宋_GB2312"/>
                <w:b w:val="0"/>
                <w:color w:val="000000"/>
                <w:sz w:val="32"/>
              </w:rPr>
              <w:t>批次公开描述</w:t>
            </w:r>
          </w:p>
        </w:tc>
      </w:tr>
      <w:tr>
        <w:tc>
          <w:tcPr>
            <w:tcW w:type="dxa" w:w="2835"/>
          </w:tcPr>
          <w:p>
            <w:pPr>
              <w:spacing w:lineRule="exact" w:line="600"/>
              <w:jc w:val="center"/>
            </w:pPr>
            <w:r/>
            <w:r>
              <w:rPr>
                <w:rFonts w:ascii="仿宋_GB2312" w:hAnsi="仿宋_GB2312" w:eastAsia="仿宋_GB2312"/>
                <w:b w:val="0"/>
                <w:color w:val="000000"/>
                <w:sz w:val="32"/>
              </w:rPr>
              <w:t>资产负债率等</w:t>
            </w:r>
          </w:p>
        </w:tc>
        <w:tc>
          <w:tcPr>
            <w:tcW w:type="dxa" w:w="3402"/>
          </w:tcPr>
          <w:p>
            <w:pPr>
              <w:spacing w:lineRule="exact" w:line="600"/>
              <w:jc w:val="center"/>
            </w:pPr>
            <w:r/>
            <w:r>
              <w:rPr>
                <w:rFonts w:ascii="仿宋_GB2312" w:hAnsi="仿宋_GB2312" w:eastAsia="仿宋_GB2312"/>
                <w:b w:val="0"/>
                <w:color w:val="000000"/>
                <w:sz w:val="32"/>
              </w:rPr>
              <w:t>未公开披露</w:t>
            </w:r>
          </w:p>
        </w:tc>
        <w:tc>
          <w:tcPr>
            <w:tcW w:type="dxa" w:w="2835"/>
          </w:tcPr>
          <w:p>
            <w:pPr>
              <w:spacing w:lineRule="exact" w:line="600"/>
              <w:jc w:val="center"/>
            </w:pPr>
            <w:r/>
            <w:r>
              <w:rPr>
                <w:rFonts w:ascii="仿宋_GB2312" w:hAnsi="仿宋_GB2312" w:eastAsia="仿宋_GB2312"/>
                <w:b w:val="0"/>
                <w:color w:val="000000"/>
                <w:sz w:val="32"/>
              </w:rPr>
              <w:t>财务数据未公开披露</w:t>
            </w:r>
          </w:p>
        </w:tc>
      </w:tr>
    </w:tbl>
    <w:p>
      <w:pPr>
        <w:spacing w:lineRule="exact" w:line="600" w:before="120" w:after="120"/>
        <w:ind w:firstLine="420"/>
        <w:jc w:val="left"/>
      </w:pPr>
      <w:r>
        <w:rPr>
          <w:rFonts w:ascii="楷体_GB2312" w:hAnsi="楷体_GB2312" w:eastAsia="楷体_GB2312"/>
          <w:b w:val="0"/>
          <w:color w:val="000000"/>
          <w:sz w:val="32"/>
        </w:rPr>
        <w:t>（二）盈利与资产质量</w:t>
      </w:r>
    </w:p>
    <w:p>
      <w:pPr>
        <w:spacing w:lineRule="exact" w:line="600" w:before="0" w:after="0"/>
        <w:ind w:firstLine="420"/>
        <w:jc w:val="both"/>
      </w:pPr>
      <w:r>
        <w:rPr>
          <w:rFonts w:ascii="仿宋_GB2312" w:hAnsi="仿宋_GB2312" w:eastAsia="仿宋_GB2312"/>
          <w:b w:val="0"/>
          <w:color w:val="000000"/>
          <w:sz w:val="32"/>
        </w:rPr>
        <w:t>公司财务数据未公开披露，具体盈利指标无法获取。花生休闲食品行业进入门槛相对较低、竞争激烈，公司凭借"酒鬼花生"单品形成一定差异化，但规模较小，盈利水平受原料花生价格与渠道费用影响。</w:t>
      </w:r>
    </w:p>
    <w:p>
      <w:pPr>
        <w:spacing w:lineRule="exact" w:line="600" w:before="120" w:after="120"/>
        <w:ind w:firstLine="420"/>
        <w:jc w:val="left"/>
      </w:pPr>
      <w:r>
        <w:rPr>
          <w:rFonts w:ascii="楷体_GB2312" w:hAnsi="楷体_GB2312" w:eastAsia="楷体_GB2312"/>
          <w:b w:val="0"/>
          <w:color w:val="000000"/>
          <w:sz w:val="32"/>
        </w:rPr>
        <w:t>（三）负债与偿债</w:t>
      </w:r>
    </w:p>
    <w:p>
      <w:pPr>
        <w:spacing w:lineRule="exact" w:line="600" w:before="0" w:after="0"/>
        <w:ind w:firstLine="420"/>
        <w:jc w:val="both"/>
      </w:pPr>
      <w:r>
        <w:rPr>
          <w:rFonts w:ascii="仿宋_GB2312" w:hAnsi="仿宋_GB2312" w:eastAsia="仿宋_GB2312"/>
          <w:b w:val="0"/>
          <w:color w:val="000000"/>
          <w:sz w:val="32"/>
        </w:rPr>
        <w:t>公司财务数据未公开披露，资产负债率、有息负债等关键偿债指标无法获取。从资本看，公司注册资本3,000万元（实缴1,100万元），整体资本规模有限。</w:t>
      </w:r>
    </w:p>
    <w:p>
      <w:pPr>
        <w:spacing w:lineRule="exact" w:line="600" w:before="120" w:after="120"/>
        <w:ind w:firstLine="420"/>
        <w:jc w:val="left"/>
      </w:pPr>
      <w:r>
        <w:rPr>
          <w:rFonts w:ascii="楷体_GB2312" w:hAnsi="楷体_GB2312" w:eastAsia="楷体_GB2312"/>
          <w:b w:val="0"/>
          <w:color w:val="000000"/>
          <w:sz w:val="32"/>
        </w:rPr>
        <w:t>（四）关键指标对标</w:t>
      </w:r>
    </w:p>
    <w:p>
      <w:pPr>
        <w:spacing w:lineRule="exact" w:line="600" w:before="0" w:after="0"/>
        <w:ind w:firstLine="420"/>
        <w:jc w:val="both"/>
      </w:pPr>
      <w:r>
        <w:rPr>
          <w:rFonts w:ascii="仿宋_GB2312" w:hAnsi="仿宋_GB2312" w:eastAsia="仿宋_GB2312"/>
          <w:b w:val="0"/>
          <w:color w:val="000000"/>
          <w:sz w:val="32"/>
        </w:rPr>
        <w:t>在休闲花生食品领域，公司可比企业包括甘源食品、有友食品等上市公司，但规模与品类结构差异较大，财务口径不可直接对标。</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公司为有限责任公司，由实际控制人孙献慧控股，苏岩任法定代表人，治理结构简单，决策链条短、经营灵活。</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公司管理层由具有休闲食品生产与销售经验的人员组成，实际控制人孙献慧主导经营决策。</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作为食品生产企业，公司须执行食品安全、生产许可等相关合规要求，建立原料检验、生产过程控制与出厂质检体系。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公司参保人数约37人，属典型小微企业用工规模，生产季适度补充临时用工。</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0" w:after="0"/>
        <w:ind w:firstLine="420"/>
        <w:jc w:val="both"/>
      </w:pPr>
      <w:r>
        <w:rPr>
          <w:rFonts w:ascii="仿宋_GB2312" w:hAnsi="仿宋_GB2312" w:eastAsia="仿宋_GB2312"/>
          <w:b w:val="0"/>
          <w:color w:val="000000"/>
          <w:sz w:val="32"/>
        </w:rPr>
        <w:t>一是单品品牌壁垒："酒鬼花生"在区域休闲花生品类具有较高认知度，形成差异化记忆点；二是产业链聚焦：长期深耕花生休闲食品，工艺与配方积累较深；三是渠道基础：在区域商超与流通渠道具备铺货能力；四是灵活经营：小微企业决策链条短，可快速响应市场与渠道变化。</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休闲食品行业竞争激烈、同质化严重，原料花生价格波动直接影响成本；食品安全事件对品牌冲击大。</w:t>
      </w:r>
    </w:p>
    <w:p>
      <w:pPr>
        <w:spacing w:lineRule="exact" w:line="600" w:before="120" w:after="120"/>
        <w:ind w:firstLine="420"/>
        <w:jc w:val="left"/>
      </w:pPr>
      <w:r>
        <w:rPr>
          <w:rFonts w:ascii="楷体_GB2312" w:hAnsi="楷体_GB2312" w:eastAsia="楷体_GB2312"/>
          <w:b w:val="0"/>
          <w:color w:val="000000"/>
          <w:sz w:val="32"/>
        </w:rPr>
        <w:t>（二）单品与规模风险</w:t>
      </w:r>
    </w:p>
    <w:p>
      <w:pPr>
        <w:spacing w:lineRule="exact" w:line="600" w:before="0" w:after="0"/>
        <w:ind w:firstLine="420"/>
        <w:jc w:val="both"/>
      </w:pPr>
      <w:r>
        <w:rPr>
          <w:rFonts w:ascii="仿宋_GB2312" w:hAnsi="仿宋_GB2312" w:eastAsia="仿宋_GB2312"/>
          <w:b w:val="0"/>
          <w:color w:val="000000"/>
          <w:sz w:val="32"/>
        </w:rPr>
        <w:t>公司业务高度依赖"酒鬼花生"单一品类，产品结构与收入来源相对集中，抗风险能力弱；企业规模小，抗周期能力有限。</w:t>
      </w:r>
    </w:p>
    <w:p>
      <w:pPr>
        <w:spacing w:lineRule="exact" w:line="600" w:before="120" w:after="120"/>
        <w:ind w:firstLine="420"/>
        <w:jc w:val="left"/>
      </w:pPr>
      <w:r>
        <w:rPr>
          <w:rFonts w:ascii="楷体_GB2312" w:hAnsi="楷体_GB2312" w:eastAsia="楷体_GB2312"/>
          <w:b w:val="0"/>
          <w:color w:val="000000"/>
          <w:sz w:val="32"/>
        </w:rPr>
        <w:t>（三）财务与流动性风险</w:t>
      </w:r>
    </w:p>
    <w:p>
      <w:pPr>
        <w:spacing w:lineRule="exact" w:line="600" w:before="0" w:after="0"/>
        <w:ind w:firstLine="420"/>
        <w:jc w:val="both"/>
      </w:pPr>
      <w:r>
        <w:rPr>
          <w:rFonts w:ascii="仿宋_GB2312" w:hAnsi="仿宋_GB2312" w:eastAsia="仿宋_GB2312"/>
          <w:b w:val="0"/>
          <w:color w:val="000000"/>
          <w:sz w:val="32"/>
        </w:rPr>
        <w:t>公司财务数据未公开披露，外部难以评估真实偿债与现金流状况；小微企业融资渠道有限，扩张资金压力较大。</w:t>
      </w:r>
    </w:p>
    <w:p>
      <w:pPr>
        <w:spacing w:lineRule="exact" w:line="600" w:before="120" w:after="120"/>
        <w:ind w:firstLine="420"/>
        <w:jc w:val="left"/>
      </w:pPr>
      <w:r>
        <w:rPr>
          <w:rFonts w:ascii="楷体_GB2312" w:hAnsi="楷体_GB2312" w:eastAsia="楷体_GB2312"/>
          <w:b w:val="0"/>
          <w:color w:val="000000"/>
          <w:sz w:val="32"/>
        </w:rPr>
        <w:t>（四）应对措施</w:t>
      </w:r>
    </w:p>
    <w:p>
      <w:pPr>
        <w:spacing w:lineRule="exact" w:line="600" w:before="0" w:after="0"/>
        <w:ind w:firstLine="420"/>
        <w:jc w:val="both"/>
      </w:pPr>
      <w:r>
        <w:rPr>
          <w:rFonts w:ascii="仿宋_GB2312" w:hAnsi="仿宋_GB2312" w:eastAsia="仿宋_GB2312"/>
          <w:b w:val="0"/>
          <w:color w:val="000000"/>
          <w:sz w:val="32"/>
        </w:rPr>
        <w:t>公司可通过产品矩阵延伸（如多口味、多坚果品类）降低单品依赖；强化品牌与电商渠道建设提升溢价；严控食品安全合规以守护品牌。</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公司上游为花生种植农户与贸易商，可在原料采购环节通过供应链金融平台提供预付/采购融资，稳定原料供应。</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公司对商超及经销商存在应收账款，可开展保理业务盘活资金。</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公司若进行自动化包装、油炸生产线升级，可通过融资租赁获取设备，降低一次性投入。</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针对原料采购与旺季备货的资金周转，可通过小贷产品提供短期流动性支持，但需配套存货与应收账款风控。</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锦川食品有限公司是泗水县食品加工集群中粮油及休闲制品方向的代表企业，凭借"酒鬼花生"单品在区域市场建立了品牌认知，经营灵活、聚焦细分品类。但企业规模偏小、财务未公开、产品结构单一，整体抗风险能力有限。</w:t>
      </w:r>
    </w:p>
    <w:p>
      <w:pPr>
        <w:spacing w:lineRule="exact" w:line="600" w:before="0" w:after="0"/>
        <w:ind w:firstLine="420"/>
        <w:jc w:val="both"/>
      </w:pPr>
      <w:r>
        <w:rPr>
          <w:rFonts w:ascii="仿宋_GB2312" w:hAnsi="仿宋_GB2312" w:eastAsia="仿宋_GB2312"/>
          <w:b w:val="0"/>
          <w:color w:val="000000"/>
          <w:sz w:val="32"/>
        </w:rPr>
        <w:t>发展展望：休闲零食消费持续扩容，公司有望通过品类延伸与电商渠道实现增长，但需在品牌升级与产能规范化上持续投入。</w:t>
      </w:r>
    </w:p>
    <w:p>
      <w:pPr>
        <w:spacing w:lineRule="exact" w:line="600" w:before="0" w:after="0"/>
        <w:ind w:firstLine="420"/>
        <w:jc w:val="both"/>
      </w:pPr>
      <w:r>
        <w:rPr>
          <w:rFonts w:ascii="仿宋_GB2312" w:hAnsi="仿宋_GB2312" w:eastAsia="仿宋_GB2312"/>
          <w:b w:val="0"/>
          <w:color w:val="000000"/>
          <w:sz w:val="32"/>
        </w:rPr>
        <w:t>建议：一是适度延伸产品矩阵，降低对单一品类依赖；二是借助山东投资供应链金融、小贷等工具优化原料采购资金链；三是推进财务规范化与品牌化建设，为后续融资与规模扩张奠定基础；四是严控食品安全合规，守护"酒鬼花生"品牌资产。</w:t>
      </w:r>
    </w:p>
    <w:p>
      <w:pPr>
        <w:spacing w:lineRule="exact" w:line="600" w:before="0" w:after="0"/>
        <w:jc w:val="left"/>
      </w:pPr>
      <w:r>
        <w:rPr>
          <w:rFonts w:ascii="仿宋_GB2312" w:hAnsi="仿宋_GB2312" w:eastAsia="仿宋_GB2312"/>
          <w:b w:val="0"/>
          <w:color w:val="000000"/>
          <w:sz w:val="28"/>
        </w:rPr>
        <w:t>数据来源说明：本报告的工商信息来源于国家企业信用信息公示系统、天眼查/爱企查；产品与产能信息来源于企业官网（ssjchs.com）及批次公开描述；财务数据因非上市小微企业未公开披露，已如实标注。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